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Default="00C306BA" w:rsidP="00C306BA">
      <w:pPr>
        <w:spacing w:line="480" w:lineRule="auto"/>
        <w:jc w:val="center"/>
      </w:pPr>
    </w:p>
    <w:p w:rsidR="00C306BA" w:rsidRPr="008F69F8" w:rsidRDefault="00C306BA" w:rsidP="00C306BA">
      <w:pPr>
        <w:spacing w:line="480" w:lineRule="auto"/>
        <w:jc w:val="center"/>
      </w:pPr>
      <w:r w:rsidRPr="008F69F8">
        <w:t>Students’ Perceptions of Online Higher Education</w:t>
      </w:r>
    </w:p>
    <w:p w:rsidR="00C306BA" w:rsidRDefault="00C306BA" w:rsidP="00C306BA">
      <w:pPr>
        <w:pBdr>
          <w:top w:val="nil"/>
          <w:left w:val="nil"/>
          <w:bottom w:val="nil"/>
          <w:right w:val="nil"/>
          <w:between w:val="nil"/>
        </w:pBdr>
        <w:spacing w:line="480" w:lineRule="auto"/>
        <w:jc w:val="center"/>
        <w:rPr>
          <w:bCs/>
          <w:color w:val="000000"/>
        </w:rPr>
      </w:pPr>
      <w:r>
        <w:rPr>
          <w:bCs/>
          <w:color w:val="000000"/>
        </w:rPr>
        <w:t xml:space="preserve">Student’s Name </w:t>
      </w:r>
    </w:p>
    <w:p w:rsidR="00C306BA" w:rsidRDefault="00C306BA" w:rsidP="00C306BA">
      <w:pPr>
        <w:pBdr>
          <w:top w:val="nil"/>
          <w:left w:val="nil"/>
          <w:bottom w:val="nil"/>
          <w:right w:val="nil"/>
          <w:between w:val="nil"/>
        </w:pBdr>
        <w:spacing w:line="480" w:lineRule="auto"/>
        <w:jc w:val="center"/>
        <w:rPr>
          <w:bCs/>
          <w:color w:val="000000"/>
        </w:rPr>
      </w:pPr>
      <w:r>
        <w:rPr>
          <w:bCs/>
          <w:color w:val="000000"/>
        </w:rPr>
        <w:t xml:space="preserve">Instructor’s Name </w:t>
      </w:r>
    </w:p>
    <w:p w:rsidR="00C306BA" w:rsidRPr="008F69F8" w:rsidRDefault="00C306BA" w:rsidP="00C306BA">
      <w:pPr>
        <w:pBdr>
          <w:top w:val="nil"/>
          <w:left w:val="nil"/>
          <w:bottom w:val="nil"/>
          <w:right w:val="nil"/>
          <w:between w:val="nil"/>
        </w:pBdr>
        <w:spacing w:line="480" w:lineRule="auto"/>
        <w:jc w:val="center"/>
        <w:rPr>
          <w:bCs/>
          <w:color w:val="000000"/>
        </w:rPr>
      </w:pPr>
      <w:r>
        <w:rPr>
          <w:bCs/>
          <w:color w:val="000000"/>
        </w:rPr>
        <w:t xml:space="preserve">Date </w:t>
      </w:r>
    </w:p>
    <w:p w:rsidR="00C306BA" w:rsidRPr="008F69F8"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Pr="008F69F8"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Pr="00D16482" w:rsidRDefault="00C306BA" w:rsidP="00C306BA">
      <w:pPr>
        <w:pBdr>
          <w:top w:val="nil"/>
          <w:left w:val="nil"/>
          <w:bottom w:val="nil"/>
          <w:right w:val="nil"/>
          <w:between w:val="nil"/>
        </w:pBdr>
        <w:spacing w:line="480" w:lineRule="auto"/>
        <w:jc w:val="center"/>
        <w:rPr>
          <w:color w:val="000000"/>
        </w:rPr>
      </w:pPr>
      <w:r w:rsidRPr="00D16482">
        <w:rPr>
          <w:color w:val="000000"/>
        </w:rPr>
        <w:lastRenderedPageBreak/>
        <w:t>Abstract</w:t>
      </w:r>
    </w:p>
    <w:p w:rsidR="00C306BA" w:rsidRPr="00D42D64" w:rsidRDefault="00C306BA" w:rsidP="00C306BA">
      <w:pPr>
        <w:pBdr>
          <w:top w:val="nil"/>
          <w:left w:val="nil"/>
          <w:bottom w:val="nil"/>
          <w:right w:val="nil"/>
          <w:between w:val="nil"/>
        </w:pBdr>
        <w:spacing w:line="480" w:lineRule="auto"/>
        <w:ind w:firstLine="720"/>
        <w:rPr>
          <w:bCs/>
          <w:color w:val="000000"/>
        </w:rPr>
      </w:pPr>
      <w:r w:rsidRPr="00D42D64">
        <w:rPr>
          <w:bCs/>
          <w:color w:val="000000"/>
        </w:rPr>
        <w:t>This dissertation explores the changing dynamics as well as the perceptions of students concerning online higher education. Social work education plays a more significant role in social development. It is worth noting that social work encompasses a proper understanding of its educational necessities. Both the social work profession and social work education provide different formulations at multiple levels in the field. In the United States of America, social work education is accessible at every level of education starting from the community college all through to doctorate level. Training and education are essential because they form the foundation of social work activities. The degree to which professional social practitioners execute their duties and responsibilities in the society is solely reliable on relevance, adequacy as well as the perception of the society and students towards online social work education. The perception the students portray online social work education is depended on the scope of training and education. So, to understand student’s perception about online social work education to social development in the U.S, it is vital to have a significant understanding of the requirements of professional social work education, and it is fundamental to understand the elements needed for one to acquire a degree in social work education. Social work education can fill the existing gaps in the field of social work development only if experts in this discipline are effectively regulated, and the structure of the curricula is suited to address the social development requirements.</w:t>
      </w:r>
    </w:p>
    <w:p w:rsidR="00C306BA" w:rsidRPr="00D42D64" w:rsidRDefault="00C306BA" w:rsidP="00C306BA">
      <w:pPr>
        <w:pBdr>
          <w:top w:val="nil"/>
          <w:left w:val="nil"/>
          <w:bottom w:val="nil"/>
          <w:right w:val="nil"/>
          <w:between w:val="nil"/>
        </w:pBdr>
        <w:spacing w:line="480" w:lineRule="auto"/>
        <w:rPr>
          <w:bCs/>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Default="00C306BA" w:rsidP="00C306BA">
      <w:pPr>
        <w:pBdr>
          <w:top w:val="nil"/>
          <w:left w:val="nil"/>
          <w:bottom w:val="nil"/>
          <w:right w:val="nil"/>
          <w:between w:val="nil"/>
        </w:pBdr>
        <w:spacing w:line="480" w:lineRule="auto"/>
        <w:rPr>
          <w:b/>
          <w:color w:val="000000"/>
        </w:rPr>
      </w:pPr>
    </w:p>
    <w:p w:rsidR="00C306BA" w:rsidRPr="00D16482" w:rsidRDefault="00C306BA" w:rsidP="00C306BA">
      <w:pPr>
        <w:spacing w:line="480" w:lineRule="auto"/>
        <w:jc w:val="center"/>
      </w:pPr>
      <w:r w:rsidRPr="008F69F8">
        <w:t>STUDENTS’ PERCEPTIONS OF ONLINE HIGHER EDUCATION</w:t>
      </w:r>
    </w:p>
    <w:p w:rsidR="00C306BA" w:rsidRPr="00D16482" w:rsidRDefault="00C306BA" w:rsidP="00C306BA">
      <w:pPr>
        <w:pBdr>
          <w:top w:val="nil"/>
          <w:left w:val="nil"/>
          <w:bottom w:val="nil"/>
          <w:right w:val="nil"/>
          <w:between w:val="nil"/>
        </w:pBdr>
        <w:spacing w:after="160" w:line="480" w:lineRule="auto"/>
        <w:jc w:val="center"/>
        <w:rPr>
          <w:color w:val="000000"/>
        </w:rPr>
      </w:pPr>
      <w:r w:rsidRPr="00D16482">
        <w:rPr>
          <w:color w:val="000000"/>
        </w:rPr>
        <w:lastRenderedPageBreak/>
        <w:t>Chapter One: Changing Dynamics in Higher Education</w:t>
      </w:r>
    </w:p>
    <w:p w:rsidR="00C306BA" w:rsidRPr="008F69F8" w:rsidRDefault="00C306BA" w:rsidP="00C306BA">
      <w:pPr>
        <w:pBdr>
          <w:top w:val="nil"/>
          <w:left w:val="nil"/>
          <w:bottom w:val="nil"/>
          <w:right w:val="nil"/>
          <w:between w:val="nil"/>
        </w:pBdr>
        <w:spacing w:line="480" w:lineRule="auto"/>
        <w:jc w:val="center"/>
        <w:rPr>
          <w:b/>
          <w:color w:val="000000"/>
        </w:rPr>
      </w:pPr>
      <w:r w:rsidRPr="008F69F8">
        <w:rPr>
          <w:b/>
          <w:color w:val="000000"/>
        </w:rPr>
        <w:t>Introduction</w:t>
      </w:r>
    </w:p>
    <w:p w:rsidR="00C306BA" w:rsidRPr="008F69F8" w:rsidRDefault="00C306BA" w:rsidP="00C306BA">
      <w:pPr>
        <w:spacing w:line="480" w:lineRule="auto"/>
        <w:ind w:firstLine="720"/>
      </w:pPr>
      <w:r w:rsidRPr="008F69F8">
        <w:rPr>
          <w:color w:val="000000"/>
        </w:rPr>
        <w:tab/>
        <w:t>Several formidable challenges in student enrollment presently face institutions of higher education across the United States.  This is especially so as the result of fewer high school graduates entering college.  In the U. S., the high school grade has been estimated to range from 66% to 88% between 2015 to 2017</w:t>
      </w:r>
      <w:r w:rsidRPr="00931FC1">
        <w:t xml:space="preserve"> </w:t>
      </w:r>
      <w:r>
        <w:t>(</w:t>
      </w:r>
      <w:r w:rsidRPr="00931FC1">
        <w:rPr>
          <w:color w:val="000000"/>
        </w:rPr>
        <w:t>Cummings et al., 2015)</w:t>
      </w:r>
      <w:r w:rsidRPr="008F69F8">
        <w:rPr>
          <w:color w:val="000000"/>
        </w:rPr>
        <w:t xml:space="preserve">. </w:t>
      </w:r>
      <w:r>
        <w:rPr>
          <w:color w:val="000000"/>
        </w:rPr>
        <w:t>T</w:t>
      </w:r>
      <w:r w:rsidRPr="008F69F8">
        <w:t xml:space="preserve">he rate of high school graduation </w:t>
      </w:r>
      <w:r w:rsidRPr="008F69F8">
        <w:rPr>
          <w:color w:val="000000" w:themeColor="text1"/>
        </w:rPr>
        <w:t xml:space="preserve">plays a major role </w:t>
      </w:r>
      <w:r w:rsidRPr="008F69F8">
        <w:t>in the evaluation of the performance of American high schools to get the exact figures of students enrolling under online social work in higher education. The most recent national data of high school grandaunts demonstrate that more high schoolers</w:t>
      </w:r>
      <w:r w:rsidRPr="008F69F8">
        <w:rPr>
          <w:color w:val="FF0000"/>
        </w:rPr>
        <w:t xml:space="preserve"> </w:t>
      </w:r>
      <w:r w:rsidRPr="008F69F8">
        <w:t xml:space="preserve">their diplomas from high schools than </w:t>
      </w:r>
      <w:r w:rsidRPr="008F69F8">
        <w:rPr>
          <w:color w:val="000000" w:themeColor="text1"/>
        </w:rPr>
        <w:t xml:space="preserve">it was </w:t>
      </w:r>
      <w:r w:rsidRPr="008F69F8">
        <w:t>initially recorded by Massive Open Online Courses (MOOCs in 2017.</w:t>
      </w:r>
      <w:r w:rsidRPr="008F69F8">
        <w:rPr>
          <w:color w:val="FF0000"/>
        </w:rPr>
        <w:t xml:space="preserve"> </w:t>
      </w:r>
      <w:r w:rsidRPr="008F69F8">
        <w:rPr>
          <w:color w:val="000000" w:themeColor="text1"/>
        </w:rPr>
        <w:t xml:space="preserve">However, the increase in number of students graduating from high school does not infer that more learners are proceeding to college.  </w:t>
      </w:r>
      <w:r w:rsidRPr="008F69F8">
        <w:t>More than 83% of learners who were seniors in high school during the 2013-14 year graduated, an inch up from 80% the year before</w:t>
      </w:r>
      <w:r>
        <w:t xml:space="preserve"> </w:t>
      </w:r>
      <w:r w:rsidRPr="00931FC1">
        <w:t xml:space="preserve">(Beddoe, 2016). </w:t>
      </w:r>
    </w:p>
    <w:p w:rsidR="00C306BA" w:rsidRPr="00D16482" w:rsidRDefault="00C306BA" w:rsidP="00C306BA">
      <w:pPr>
        <w:spacing w:line="480" w:lineRule="auto"/>
        <w:ind w:firstLine="720"/>
        <w:rPr>
          <w:color w:val="000000"/>
        </w:rPr>
      </w:pPr>
      <w:r w:rsidRPr="008F69F8">
        <w:rPr>
          <w:color w:val="000000" w:themeColor="text1"/>
        </w:rPr>
        <w:t>Data</w:t>
      </w:r>
      <w:r w:rsidRPr="008F69F8">
        <w:t xml:space="preserve"> released recently by the national student clearinghouse research center</w:t>
      </w:r>
      <w:r w:rsidRPr="008F69F8">
        <w:rPr>
          <w:color w:val="FF0000"/>
        </w:rPr>
        <w:t xml:space="preserve"> </w:t>
      </w:r>
      <w:r w:rsidRPr="008F69F8">
        <w:t xml:space="preserve">indicate that </w:t>
      </w:r>
      <w:r w:rsidRPr="008F69F8">
        <w:rPr>
          <w:color w:val="000000" w:themeColor="text1"/>
        </w:rPr>
        <w:t>the</w:t>
      </w:r>
      <w:r w:rsidRPr="008F69F8">
        <w:t xml:space="preserve"> college admission rate has dropped</w:t>
      </w:r>
      <w:r w:rsidRPr="008F69F8">
        <w:rPr>
          <w:color w:val="FF0000"/>
        </w:rPr>
        <w:t xml:space="preserve"> </w:t>
      </w:r>
      <w:r w:rsidRPr="008F69F8">
        <w:rPr>
          <w:color w:val="000000" w:themeColor="text1"/>
        </w:rPr>
        <w:t>significantly from 78% to 74%</w:t>
      </w:r>
      <w:r>
        <w:rPr>
          <w:color w:val="000000" w:themeColor="text1"/>
        </w:rPr>
        <w:t xml:space="preserve"> </w:t>
      </w:r>
      <w:r w:rsidRPr="00931FC1">
        <w:rPr>
          <w:color w:val="000000" w:themeColor="text1"/>
        </w:rPr>
        <w:t>(Cummings et al., 2015)</w:t>
      </w:r>
      <w:r w:rsidRPr="008F69F8">
        <w:rPr>
          <w:color w:val="000000" w:themeColor="text1"/>
        </w:rPr>
        <w:t xml:space="preserve">. </w:t>
      </w:r>
      <w:r w:rsidRPr="008F69F8">
        <w:t xml:space="preserve">College enrollment rates have decreased for the fourth consecutive year, </w:t>
      </w:r>
      <w:r w:rsidRPr="008F69F8">
        <w:rPr>
          <w:color w:val="000000" w:themeColor="text1"/>
        </w:rPr>
        <w:t xml:space="preserve">despite </w:t>
      </w:r>
      <w:r w:rsidRPr="008F69F8">
        <w:t xml:space="preserve">the enormous increase in federal aid for poor students who cannot afford college tuition. The number of high school graduates enrolling in universities and colleges this year </w:t>
      </w:r>
      <w:r w:rsidRPr="008F69F8">
        <w:rPr>
          <w:color w:val="000000" w:themeColor="text1"/>
        </w:rPr>
        <w:t>which</w:t>
      </w:r>
      <w:r w:rsidRPr="008F69F8">
        <w:t xml:space="preserve"> stands at 1.8</w:t>
      </w:r>
      <w:r w:rsidRPr="008F69F8">
        <w:rPr>
          <w:color w:val="000000" w:themeColor="text1"/>
        </w:rPr>
        <w:t xml:space="preserve">%, a figure </w:t>
      </w:r>
      <w:r w:rsidRPr="008F69F8">
        <w:t xml:space="preserve">lower than 2.5% </w:t>
      </w:r>
      <w:r w:rsidRPr="008F69F8">
        <w:rPr>
          <w:color w:val="000000" w:themeColor="text1"/>
        </w:rPr>
        <w:t xml:space="preserve">that was </w:t>
      </w:r>
      <w:r w:rsidRPr="008F69F8">
        <w:t>registered last year</w:t>
      </w:r>
      <w:r>
        <w:t xml:space="preserve"> </w:t>
      </w:r>
      <w:r w:rsidRPr="003613CA">
        <w:t>(Broadbent &amp; Poon, 2015)</w:t>
      </w:r>
      <w:r w:rsidRPr="008F69F8">
        <w:t xml:space="preserve">. Consequentially, among those high school graduates who </w:t>
      </w:r>
      <w:r w:rsidRPr="008F69F8">
        <w:rPr>
          <w:color w:val="000000" w:themeColor="text1"/>
        </w:rPr>
        <w:t>enter</w:t>
      </w:r>
      <w:r w:rsidRPr="008F69F8">
        <w:rPr>
          <w:color w:val="FF0000"/>
        </w:rPr>
        <w:t xml:space="preserve"> </w:t>
      </w:r>
      <w:r w:rsidRPr="008F69F8">
        <w:t xml:space="preserve">colleges, 0.8% </w:t>
      </w:r>
      <w:r w:rsidRPr="008F69F8">
        <w:rPr>
          <w:color w:val="000000" w:themeColor="text1"/>
        </w:rPr>
        <w:t xml:space="preserve">join online education courses </w:t>
      </w:r>
      <w:r w:rsidRPr="008F69F8">
        <w:t>more so among the students who have full-time jobs while atte</w:t>
      </w:r>
      <w:r>
        <w:t>nding colleges. Cummings et al.</w:t>
      </w:r>
      <w:r w:rsidRPr="008F69F8">
        <w:t xml:space="preserve"> (2015) demonstrate that many students prefer </w:t>
      </w:r>
      <w:r w:rsidRPr="008F69F8">
        <w:rPr>
          <w:color w:val="000000" w:themeColor="text1"/>
        </w:rPr>
        <w:t xml:space="preserve">going for </w:t>
      </w:r>
      <w:r w:rsidRPr="008F69F8">
        <w:t xml:space="preserve">online education when they </w:t>
      </w:r>
      <w:r w:rsidRPr="008F69F8">
        <w:rPr>
          <w:color w:val="000000" w:themeColor="text1"/>
        </w:rPr>
        <w:t xml:space="preserve">have no </w:t>
      </w:r>
      <w:r w:rsidRPr="008F69F8">
        <w:t xml:space="preserve">adequate </w:t>
      </w:r>
      <w:r w:rsidRPr="008F69F8">
        <w:lastRenderedPageBreak/>
        <w:t xml:space="preserve">time for traditional classes. </w:t>
      </w:r>
      <w:r w:rsidRPr="008F69F8">
        <w:rPr>
          <w:color w:val="000000" w:themeColor="text1"/>
        </w:rPr>
        <w:t xml:space="preserve">Very often </w:t>
      </w:r>
      <w:r w:rsidRPr="008F69F8">
        <w:rPr>
          <w:color w:val="000000"/>
        </w:rPr>
        <w:t xml:space="preserve">high school graduates now postpone college for a variety of reasons, </w:t>
      </w:r>
      <w:r w:rsidRPr="008F69F8">
        <w:rPr>
          <w:color w:val="000000" w:themeColor="text1"/>
        </w:rPr>
        <w:t xml:space="preserve">which run </w:t>
      </w:r>
      <w:r w:rsidRPr="008F69F8">
        <w:rPr>
          <w:color w:val="000000"/>
        </w:rPr>
        <w:t>the gamut from personal concerns such as care for infants and young children to a desire to explore the world in a gap year</w:t>
      </w:r>
      <w:r>
        <w:rPr>
          <w:color w:val="000000"/>
        </w:rPr>
        <w:t xml:space="preserve">. </w:t>
      </w:r>
      <w:r w:rsidRPr="008F69F8">
        <w:rPr>
          <w:color w:val="000000"/>
        </w:rPr>
        <w:t xml:space="preserve">The main reasons </w:t>
      </w:r>
      <w:r w:rsidRPr="008F69F8">
        <w:rPr>
          <w:color w:val="000000" w:themeColor="text1"/>
        </w:rPr>
        <w:t xml:space="preserve">for declines </w:t>
      </w:r>
      <w:r w:rsidRPr="008F69F8">
        <w:rPr>
          <w:color w:val="000000"/>
        </w:rPr>
        <w:t xml:space="preserve">in college </w:t>
      </w:r>
      <w:r w:rsidRPr="008F69F8">
        <w:rPr>
          <w:color w:val="000000" w:themeColor="text1"/>
        </w:rPr>
        <w:t xml:space="preserve">enrollment, however, </w:t>
      </w:r>
      <w:r w:rsidRPr="008F69F8">
        <w:rPr>
          <w:color w:val="000000"/>
        </w:rPr>
        <w:t xml:space="preserve">seem to be the rising costs of college education, coupled with </w:t>
      </w:r>
      <w:r w:rsidRPr="008F69F8">
        <w:rPr>
          <w:color w:val="000000" w:themeColor="text1"/>
        </w:rPr>
        <w:t>the</w:t>
      </w:r>
      <w:r w:rsidRPr="008F69F8">
        <w:rPr>
          <w:color w:val="FF0000"/>
        </w:rPr>
        <w:t xml:space="preserve"> </w:t>
      </w:r>
      <w:r w:rsidRPr="008F69F8">
        <w:rPr>
          <w:color w:val="000000"/>
        </w:rPr>
        <w:t>decreased availability of government funding (</w:t>
      </w:r>
      <w:r w:rsidRPr="008F69F8">
        <w:rPr>
          <w:color w:val="000000"/>
          <w:highlight w:val="white"/>
        </w:rPr>
        <w:t>Broadbent &amp; Poon, 2015)</w:t>
      </w:r>
      <w:r w:rsidRPr="008F69F8">
        <w:rPr>
          <w:color w:val="000000"/>
        </w:rPr>
        <w:t>.</w:t>
      </w:r>
      <w:r w:rsidRPr="008F69F8">
        <w:rPr>
          <w:color w:val="000000"/>
          <w:highlight w:val="white"/>
        </w:rPr>
        <w:t xml:space="preserve"> </w:t>
      </w:r>
    </w:p>
    <w:p w:rsidR="00C306BA" w:rsidRDefault="00C306BA" w:rsidP="00C306BA">
      <w:pPr>
        <w:spacing w:line="480" w:lineRule="auto"/>
        <w:rPr>
          <w:color w:val="000000"/>
        </w:rPr>
      </w:pPr>
      <w:r>
        <w:tab/>
      </w:r>
      <w:r w:rsidRPr="008F69F8">
        <w:t>This downward</w:t>
      </w:r>
      <w:r w:rsidRPr="008F69F8">
        <w:rPr>
          <w:color w:val="000000"/>
        </w:rPr>
        <w:t xml:space="preserve"> trend in government funding of higher education can be tracked in the decade following the Great Recession. Some have labeled this period as the lowest point in the history of </w:t>
      </w:r>
      <w:r w:rsidRPr="008F69F8">
        <w:rPr>
          <w:color w:val="000000" w:themeColor="text1"/>
        </w:rPr>
        <w:t xml:space="preserve">both federal and state </w:t>
      </w:r>
      <w:r w:rsidRPr="008F69F8">
        <w:rPr>
          <w:color w:val="000000"/>
        </w:rPr>
        <w:t xml:space="preserve">funding for higher education </w:t>
      </w:r>
      <w:r w:rsidRPr="008F69F8">
        <w:rPr>
          <w:rFonts w:eastAsia="Calibri"/>
          <w:color w:val="000000"/>
        </w:rPr>
        <w:t>(</w:t>
      </w:r>
      <w:r w:rsidRPr="008F69F8">
        <w:t>Robert et al., 2019</w:t>
      </w:r>
      <w:r w:rsidRPr="008F69F8">
        <w:rPr>
          <w:color w:val="000000"/>
        </w:rPr>
        <w:t>). This period has earned this designation, despite some increased allocations to public colleges and universities. For example, in the 2016-17 school year, there was a $9 billion decrease from the 2008 allocation of funds to public higher learning</w:t>
      </w:r>
      <w:r>
        <w:rPr>
          <w:color w:val="000000"/>
        </w:rPr>
        <w:t xml:space="preserve"> </w:t>
      </w:r>
      <w:r w:rsidRPr="003613CA">
        <w:rPr>
          <w:color w:val="000000"/>
        </w:rPr>
        <w:t>(Rubin &amp; Babbie, 2016)</w:t>
      </w:r>
      <w:r w:rsidRPr="008F69F8">
        <w:rPr>
          <w:color w:val="000000"/>
        </w:rPr>
        <w:t>. Even though society has generally touted the value of higher education, some state legislators have continued to create hurdles, making higher education inaccessible</w:t>
      </w:r>
      <w:r w:rsidRPr="008F69F8">
        <w:rPr>
          <w:rStyle w:val="CommentReference"/>
        </w:rPr>
        <w:t xml:space="preserve"> </w:t>
      </w:r>
      <w:r w:rsidRPr="008F69F8">
        <w:rPr>
          <w:color w:val="000000"/>
        </w:rPr>
        <w:t xml:space="preserve">and more expensive among the poor in America. </w:t>
      </w:r>
    </w:p>
    <w:p w:rsidR="00C306BA" w:rsidRPr="008F69F8" w:rsidRDefault="00C306BA" w:rsidP="00C306BA">
      <w:pPr>
        <w:spacing w:line="480" w:lineRule="auto"/>
        <w:rPr>
          <w:color w:val="000000"/>
        </w:rPr>
      </w:pPr>
    </w:p>
    <w:p w:rsidR="00C306BA" w:rsidRPr="008F69F8" w:rsidRDefault="00C306BA" w:rsidP="00C306BA">
      <w:pPr>
        <w:pBdr>
          <w:top w:val="nil"/>
          <w:left w:val="nil"/>
          <w:bottom w:val="nil"/>
          <w:right w:val="nil"/>
          <w:between w:val="nil"/>
        </w:pBdr>
        <w:spacing w:after="160" w:line="480" w:lineRule="auto"/>
        <w:jc w:val="center"/>
        <w:rPr>
          <w:b/>
          <w:color w:val="000000"/>
        </w:rPr>
      </w:pPr>
      <w:r w:rsidRPr="008F69F8">
        <w:rPr>
          <w:b/>
          <w:color w:val="000000"/>
        </w:rPr>
        <w:t>Aims and Research Questions</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This study focuses on the online student in the Master of Social Work (MSW) program. It specifically addresses the questions of whether the online study fosters a sense of belonging and inclusion.  A sense of belonging is the general feeling of confidence that social workers normally have while recognizing that they are in social work profession. Through the sense of belonging, social workers are affirmed by the role they play in a community, helping solve some problems that are identified in the community </w:t>
      </w:r>
      <w:bookmarkStart w:id="0" w:name="_Hlk20286253"/>
      <w:r w:rsidRPr="008F69F8">
        <w:rPr>
          <w:color w:val="000000"/>
        </w:rPr>
        <w:t>(</w:t>
      </w:r>
      <w:r w:rsidRPr="008F69F8">
        <w:rPr>
          <w:color w:val="000000"/>
          <w:highlight w:val="white"/>
        </w:rPr>
        <w:t>Rubin &amp; Babbie, 2016)</w:t>
      </w:r>
      <w:bookmarkEnd w:id="0"/>
      <w:r w:rsidRPr="008F69F8">
        <w:rPr>
          <w:color w:val="000000"/>
        </w:rPr>
        <w:t xml:space="preserve">. The positive attitude among social </w:t>
      </w:r>
      <w:r w:rsidRPr="008F69F8">
        <w:rPr>
          <w:color w:val="000000"/>
        </w:rPr>
        <w:lastRenderedPageBreak/>
        <w:t xml:space="preserve">workers, therefore, enables them to be easily approachable by members of the communities that they serve. </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 Although this study targets online MSW degree programs and how social workers evaluate the effectiveness and success of online MSW programs the findings will likely have implications for online graduate study in general. The research question for this dissertation will be:</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What are students’ perceptions of sense of belonging with online social work programs?</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There some challenges that online social education programs may experience. These challenges include passive students since most education is self-directed. Therefore, to ensure that online students still have a sense of belonging in the MSW program is to make certain that there is quality, breadth, and depth of learning </w:t>
      </w:r>
      <w:r w:rsidRPr="008F69F8">
        <w:rPr>
          <w:color w:val="000000"/>
          <w:highlight w:val="white"/>
        </w:rPr>
        <w:t>(Hockridge, 2013)</w:t>
      </w:r>
      <w:r w:rsidRPr="008F69F8">
        <w:rPr>
          <w:color w:val="000000"/>
        </w:rPr>
        <w:t>. There is also the instruction strategy, which if deemed poor, may result in a low sense of belonging among the online social work students, as they feel the level of education is inadequate</w:t>
      </w:r>
      <w:r w:rsidRPr="008F69F8">
        <w:rPr>
          <w:color w:val="000000"/>
          <w:highlight w:val="white"/>
        </w:rPr>
        <w:t xml:space="preserve"> (Hockridge, 2013)</w:t>
      </w:r>
      <w:r w:rsidRPr="008F69F8">
        <w:rPr>
          <w:color w:val="000000"/>
        </w:rPr>
        <w:t>.</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A sense of belonging within online programs is deemed important for making social workers easily identify with their profession. The sense of belonging normally makes such people establish the specific ways in which they might be of benefit to the profession (Holosko, 2015). Such individuals also seek to establish appropriate ways in which they might uplift one another. </w:t>
      </w:r>
    </w:p>
    <w:p w:rsidR="00C306BA" w:rsidRPr="008F69F8" w:rsidRDefault="00C306BA" w:rsidP="00C306BA">
      <w:pPr>
        <w:spacing w:line="480" w:lineRule="auto"/>
        <w:jc w:val="center"/>
        <w:rPr>
          <w:b/>
          <w:bCs/>
          <w:color w:val="000000"/>
        </w:rPr>
      </w:pPr>
      <w:r>
        <w:rPr>
          <w:b/>
          <w:bCs/>
          <w:color w:val="000000"/>
        </w:rPr>
        <w:t>Statement of t</w:t>
      </w:r>
      <w:r w:rsidRPr="008F69F8">
        <w:rPr>
          <w:b/>
          <w:bCs/>
          <w:color w:val="000000"/>
        </w:rPr>
        <w:t>he Problem</w:t>
      </w:r>
    </w:p>
    <w:p w:rsidR="00C306BA" w:rsidRPr="008F69F8" w:rsidRDefault="00C306BA" w:rsidP="00C306BA">
      <w:pPr>
        <w:spacing w:line="480" w:lineRule="auto"/>
        <w:ind w:firstLine="720"/>
        <w:rPr>
          <w:color w:val="000000"/>
        </w:rPr>
      </w:pPr>
      <w:r w:rsidRPr="008F69F8">
        <w:rPr>
          <w:color w:val="000000"/>
        </w:rPr>
        <w:t xml:space="preserve"> Access to modern technology is an important element that can foster online education. Therefore, lack of effective technology has affected the perception of many students wanting to enroll for online higher education.</w:t>
      </w:r>
      <w:r w:rsidRPr="008F69F8">
        <w:rPr>
          <w:color w:val="FF0000"/>
        </w:rPr>
        <w:t xml:space="preserve"> </w:t>
      </w:r>
      <w:r>
        <w:rPr>
          <w:color w:val="000000"/>
        </w:rPr>
        <w:t>Wilke &amp; Vinton</w:t>
      </w:r>
      <w:r w:rsidRPr="008F69F8">
        <w:rPr>
          <w:color w:val="000000"/>
        </w:rPr>
        <w:t xml:space="preserve"> (2017) posit that technology is an integral factor in online education therefore, </w:t>
      </w:r>
      <w:r w:rsidRPr="008F69F8">
        <w:rPr>
          <w:color w:val="000000" w:themeColor="text1"/>
        </w:rPr>
        <w:t xml:space="preserve">the federal government should provide appropriate </w:t>
      </w:r>
      <w:r w:rsidRPr="008F69F8">
        <w:rPr>
          <w:color w:val="000000" w:themeColor="text1"/>
        </w:rPr>
        <w:lastRenderedPageBreak/>
        <w:t xml:space="preserve">technology to promote online education among the </w:t>
      </w:r>
      <w:r w:rsidRPr="008F69F8">
        <w:rPr>
          <w:color w:val="000000"/>
        </w:rPr>
        <w:t xml:space="preserve">interested students. This can be achieved </w:t>
      </w:r>
      <w:r w:rsidRPr="008F69F8">
        <w:rPr>
          <w:color w:val="000000" w:themeColor="text1"/>
        </w:rPr>
        <w:t xml:space="preserve">by employing committed professionals in the social work discipline as well as designing necessary systems that support online education </w:t>
      </w:r>
      <w:r w:rsidRPr="008F69F8">
        <w:rPr>
          <w:color w:val="000000"/>
        </w:rPr>
        <w:t xml:space="preserve">development. According to </w:t>
      </w:r>
      <w:r>
        <w:rPr>
          <w:color w:val="000000"/>
          <w:highlight w:val="white"/>
        </w:rPr>
        <w:t>Bryson</w:t>
      </w:r>
      <w:r w:rsidRPr="008F69F8">
        <w:rPr>
          <w:color w:val="000000"/>
          <w:highlight w:val="white"/>
        </w:rPr>
        <w:t xml:space="preserve"> (2016)</w:t>
      </w:r>
      <w:r>
        <w:rPr>
          <w:color w:val="000000"/>
        </w:rPr>
        <w:t>,</w:t>
      </w:r>
      <w:r w:rsidRPr="008F69F8">
        <w:rPr>
          <w:rFonts w:eastAsia="Calibri"/>
          <w:color w:val="000000"/>
        </w:rPr>
        <w:t xml:space="preserve"> </w:t>
      </w:r>
      <w:r w:rsidRPr="008F69F8">
        <w:rPr>
          <w:color w:val="000000"/>
        </w:rPr>
        <w:t xml:space="preserve">perhaps the most damaging impact of failing to honor social work education would be loss of opportunities for higher education to a larger segment of society, in </w:t>
      </w:r>
      <w:r w:rsidRPr="008F69F8">
        <w:rPr>
          <w:color w:val="000000" w:themeColor="text1"/>
        </w:rPr>
        <w:t xml:space="preserve">a period </w:t>
      </w:r>
      <w:r w:rsidRPr="008F69F8">
        <w:rPr>
          <w:color w:val="000000"/>
        </w:rPr>
        <w:t xml:space="preserve">when </w:t>
      </w:r>
      <w:r w:rsidRPr="008F69F8">
        <w:rPr>
          <w:color w:val="000000" w:themeColor="text1"/>
        </w:rPr>
        <w:t xml:space="preserve">post-secondary </w:t>
      </w:r>
      <w:r w:rsidRPr="008F69F8">
        <w:rPr>
          <w:color w:val="000000"/>
        </w:rPr>
        <w:t xml:space="preserve">education is more necessary than ever before. </w:t>
      </w:r>
      <w:r w:rsidRPr="008F69F8">
        <w:rPr>
          <w:color w:val="000000" w:themeColor="text1"/>
        </w:rPr>
        <w:t>Cutbacks</w:t>
      </w:r>
      <w:r w:rsidRPr="008F69F8">
        <w:rPr>
          <w:color w:val="FF0000"/>
        </w:rPr>
        <w:t xml:space="preserve"> </w:t>
      </w:r>
      <w:r w:rsidRPr="008F69F8">
        <w:rPr>
          <w:color w:val="000000"/>
        </w:rPr>
        <w:t xml:space="preserve">to available educational financial aid in the government funding structure have forced many </w:t>
      </w:r>
      <w:r w:rsidRPr="008F69F8">
        <w:rPr>
          <w:color w:val="000000" w:themeColor="text1"/>
        </w:rPr>
        <w:t xml:space="preserve">potential aspirants to </w:t>
      </w:r>
      <w:r w:rsidRPr="008F69F8">
        <w:rPr>
          <w:color w:val="000000"/>
        </w:rPr>
        <w:t xml:space="preserve">higher education to delay enrollment </w:t>
      </w:r>
      <w:bookmarkStart w:id="1" w:name="_Hlk20286192"/>
      <w:r w:rsidRPr="008F69F8">
        <w:rPr>
          <w:color w:val="000000"/>
        </w:rPr>
        <w:t>(</w:t>
      </w:r>
      <w:r w:rsidRPr="008F69F8">
        <w:rPr>
          <w:color w:val="000000"/>
          <w:highlight w:val="white"/>
        </w:rPr>
        <w:t xml:space="preserve">Broadbent &amp; Poon, 2015). </w:t>
      </w:r>
      <w:bookmarkEnd w:id="1"/>
      <w:r w:rsidRPr="008F69F8">
        <w:rPr>
          <w:color w:val="000000"/>
          <w:highlight w:val="white"/>
        </w:rPr>
        <w:t xml:space="preserve">However, educational </w:t>
      </w:r>
      <w:r w:rsidRPr="008F69F8">
        <w:rPr>
          <w:color w:val="000000"/>
        </w:rPr>
        <w:t xml:space="preserve">institutions will inevitably have to make changes— changes that will meet the needs of this new financially challenged student population. </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The rising costs and reductions in government funding have caused institutions of higher learning to reassess priorities. As colleges and universities struggle with reductions in </w:t>
      </w:r>
      <w:r w:rsidRPr="008F69F8">
        <w:rPr>
          <w:color w:val="000000" w:themeColor="text1"/>
        </w:rPr>
        <w:t>governmental</w:t>
      </w:r>
      <w:r w:rsidRPr="008F69F8">
        <w:rPr>
          <w:color w:val="FF0000"/>
        </w:rPr>
        <w:t xml:space="preserve"> </w:t>
      </w:r>
      <w:r w:rsidRPr="008F69F8">
        <w:rPr>
          <w:color w:val="000000"/>
        </w:rPr>
        <w:t xml:space="preserve">funding, they are recognizing the need for </w:t>
      </w:r>
      <w:r w:rsidRPr="008F69F8">
        <w:rPr>
          <w:color w:val="000000" w:themeColor="text1"/>
        </w:rPr>
        <w:t xml:space="preserve">flexibility and are tailoring old plans of study to the changed needs of these non-traditional student populations and creating new ones designed specifically for students who also are full-time employees or who will enter the workforce immediately after their graduation from high school.  Student populations of these profiles are </w:t>
      </w:r>
      <w:r w:rsidRPr="008F69F8">
        <w:rPr>
          <w:color w:val="000000"/>
        </w:rPr>
        <w:t>likely to enroll in programs that offer them the chance to advance their professional lives even as they seek to advance their current skills.</w:t>
      </w:r>
    </w:p>
    <w:p w:rsidR="00C306BA" w:rsidRPr="008F69F8" w:rsidRDefault="00C306BA" w:rsidP="00C306BA">
      <w:pPr>
        <w:pBdr>
          <w:top w:val="nil"/>
          <w:left w:val="nil"/>
          <w:bottom w:val="nil"/>
          <w:right w:val="nil"/>
          <w:between w:val="nil"/>
        </w:pBdr>
        <w:spacing w:line="480" w:lineRule="auto"/>
        <w:ind w:firstLine="720"/>
        <w:rPr>
          <w:color w:val="FF0000"/>
        </w:rPr>
      </w:pPr>
      <w:r w:rsidRPr="008F69F8">
        <w:rPr>
          <w:color w:val="000000"/>
        </w:rPr>
        <w:t>Institutions of higher education see the wisdom in adopting innovative models that are likely to improve th</w:t>
      </w:r>
      <w:r w:rsidRPr="008F69F8">
        <w:rPr>
          <w:color w:val="000000" w:themeColor="text1"/>
        </w:rPr>
        <w:t>eir</w:t>
      </w:r>
      <w:r w:rsidRPr="008F69F8">
        <w:rPr>
          <w:color w:val="000000"/>
        </w:rPr>
        <w:t xml:space="preserve"> level of funding while at the same time not compromising the quality of education (</w:t>
      </w:r>
      <w:r w:rsidRPr="008F69F8">
        <w:rPr>
          <w:color w:val="000000"/>
          <w:highlight w:val="white"/>
        </w:rPr>
        <w:t>Them &amp; Lynch, 2014).</w:t>
      </w:r>
      <w:r w:rsidRPr="008F69F8">
        <w:rPr>
          <w:color w:val="000000"/>
        </w:rPr>
        <w:t xml:space="preserve"> One of the tenets of the new models is higher learning needs to be flexible to be accessible for students. In essence, flexibility in online education is likely to increase enrollment in higher education programs (</w:t>
      </w:r>
      <w:r w:rsidRPr="008F69F8">
        <w:t>York, 2019</w:t>
      </w:r>
      <w:r w:rsidRPr="008F69F8">
        <w:rPr>
          <w:color w:val="000000"/>
        </w:rPr>
        <w:t xml:space="preserve">).  The most effective online </w:t>
      </w:r>
      <w:r w:rsidRPr="008F69F8">
        <w:rPr>
          <w:color w:val="000000"/>
        </w:rPr>
        <w:lastRenderedPageBreak/>
        <w:t>platforms allow students to use available time to work towards higher education while holding a full-time job.</w:t>
      </w: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Challenges with Lack of Funding to Higher Education</w:t>
      </w:r>
    </w:p>
    <w:p w:rsidR="00C306BA" w:rsidRPr="008F69F8" w:rsidRDefault="00C306BA" w:rsidP="00C306BA">
      <w:pPr>
        <w:pBdr>
          <w:top w:val="nil"/>
          <w:left w:val="nil"/>
          <w:bottom w:val="nil"/>
          <w:right w:val="nil"/>
          <w:between w:val="nil"/>
        </w:pBdr>
        <w:spacing w:line="480" w:lineRule="auto"/>
        <w:rPr>
          <w:color w:val="000000" w:themeColor="text1"/>
        </w:rPr>
      </w:pPr>
      <w:bookmarkStart w:id="2" w:name="_gjdgxs" w:colFirst="0" w:colLast="0"/>
      <w:bookmarkEnd w:id="2"/>
      <w:r w:rsidRPr="008F69F8">
        <w:rPr>
          <w:color w:val="000000"/>
        </w:rPr>
        <w:t xml:space="preserve"> </w:t>
      </w:r>
      <w:r w:rsidRPr="008F69F8">
        <w:rPr>
          <w:color w:val="000000"/>
        </w:rPr>
        <w:tab/>
        <w:t>Challenges such as lack of funding, inaccessibility and lack of flexibility are adversely affecting institutes of higher education hence the reason for dwindling number of students enrolling for online social work education</w:t>
      </w:r>
      <w:r w:rsidRPr="008F69F8">
        <w:rPr>
          <w:color w:val="000000" w:themeColor="text1"/>
        </w:rPr>
        <w:t xml:space="preserve">. Universities and colleges </w:t>
      </w:r>
      <w:r w:rsidRPr="008F69F8">
        <w:rPr>
          <w:color w:val="000000"/>
        </w:rPr>
        <w:t xml:space="preserve">of higher learning have implemented various open learning programs in efforts to respond to these on-going challenges.  </w:t>
      </w:r>
      <w:r w:rsidRPr="008F69F8">
        <w:rPr>
          <w:color w:val="FF0000"/>
        </w:rPr>
        <w:t xml:space="preserve"> </w:t>
      </w:r>
      <w:r w:rsidRPr="008F69F8">
        <w:rPr>
          <w:color w:val="000000"/>
        </w:rPr>
        <w:t xml:space="preserve">that allows students to study when and where they want as well as </w:t>
      </w:r>
      <w:r w:rsidRPr="008F69F8">
        <w:rPr>
          <w:color w:val="000000" w:themeColor="text1"/>
        </w:rPr>
        <w:t>receive</w:t>
      </w:r>
      <w:r w:rsidRPr="008F69F8">
        <w:rPr>
          <w:color w:val="FF0000"/>
        </w:rPr>
        <w:t xml:space="preserve"> </w:t>
      </w:r>
      <w:r w:rsidRPr="008F69F8">
        <w:rPr>
          <w:color w:val="000000"/>
        </w:rPr>
        <w:t xml:space="preserve">and </w:t>
      </w:r>
      <w:r w:rsidRPr="008F69F8">
        <w:rPr>
          <w:color w:val="000000" w:themeColor="text1"/>
        </w:rPr>
        <w:t>return</w:t>
      </w:r>
      <w:r w:rsidRPr="008F69F8">
        <w:rPr>
          <w:color w:val="FF0000"/>
        </w:rPr>
        <w:t xml:space="preserve"> </w:t>
      </w:r>
      <w:r w:rsidRPr="008F69F8">
        <w:rPr>
          <w:color w:val="000000"/>
        </w:rPr>
        <w:t xml:space="preserve">their written assignments via postal or email. </w:t>
      </w:r>
      <w:r w:rsidRPr="008F69F8">
        <w:rPr>
          <w:color w:val="000000" w:themeColor="text1"/>
        </w:rPr>
        <w:t xml:space="preserve">Furthermore, </w:t>
      </w:r>
      <w:r w:rsidRPr="008F69F8">
        <w:rPr>
          <w:color w:val="000000"/>
        </w:rPr>
        <w:t xml:space="preserve">statistics show that more than six million people are currently enrolled in </w:t>
      </w:r>
      <w:r w:rsidRPr="008F69F8">
        <w:rPr>
          <w:color w:val="000000" w:themeColor="text1"/>
        </w:rPr>
        <w:t xml:space="preserve">open learning programs </w:t>
      </w:r>
      <w:r>
        <w:rPr>
          <w:color w:val="000000"/>
        </w:rPr>
        <w:t>in the U</w:t>
      </w:r>
      <w:r w:rsidRPr="008F69F8">
        <w:rPr>
          <w:color w:val="000000"/>
        </w:rPr>
        <w:t xml:space="preserve">S (Birkenmaier et al., 2011). Open learning programs are innovative programs that promote opportunities for learning within the boundaries of formal education systems. These programs break </w:t>
      </w:r>
      <w:r w:rsidRPr="008F69F8">
        <w:rPr>
          <w:color w:val="000000" w:themeColor="text1"/>
        </w:rPr>
        <w:t xml:space="preserve">through the </w:t>
      </w:r>
      <w:r w:rsidRPr="008F69F8">
        <w:rPr>
          <w:color w:val="000000"/>
        </w:rPr>
        <w:t>physical barrier that may hamper the ability of students to acquire information, who are often primarily located in isolated rural areas (</w:t>
      </w:r>
      <w:r w:rsidRPr="008F69F8">
        <w:rPr>
          <w:color w:val="000000"/>
          <w:highlight w:val="white"/>
        </w:rPr>
        <w:t>Kadushin &amp; Harkness, 2014)</w:t>
      </w:r>
      <w:r w:rsidRPr="008F69F8">
        <w:rPr>
          <w:color w:val="000000"/>
        </w:rPr>
        <w:t xml:space="preserve">. </w:t>
      </w:r>
      <w:r w:rsidRPr="008F69F8">
        <w:rPr>
          <w:color w:val="000000" w:themeColor="text1"/>
        </w:rPr>
        <w:t xml:space="preserve">Student isolation also may reflect the technological desert of older urban areas as well as regions of cities with high poverty indices. </w:t>
      </w:r>
    </w:p>
    <w:p w:rsidR="00C306BA" w:rsidRPr="008F69F8" w:rsidRDefault="00C306BA" w:rsidP="00C306BA">
      <w:pPr>
        <w:pBdr>
          <w:top w:val="nil"/>
          <w:left w:val="nil"/>
          <w:bottom w:val="nil"/>
          <w:right w:val="nil"/>
          <w:between w:val="nil"/>
        </w:pBdr>
        <w:spacing w:line="480" w:lineRule="auto"/>
        <w:ind w:firstLine="720"/>
        <w:rPr>
          <w:color w:val="000000" w:themeColor="text1"/>
        </w:rPr>
      </w:pPr>
      <w:r w:rsidRPr="008F69F8">
        <w:rPr>
          <w:color w:val="000000" w:themeColor="text1"/>
        </w:rPr>
        <w:t xml:space="preserve">These socio-economic factors, as well as physical geographic challenges, typically provide post-secondary educational institutions opportunities to innovate and bring insulated areas and these potential students into the larger world of knowledge- and information-acquisition from distances that range from miles to continents. </w:t>
      </w:r>
      <w:r w:rsidRPr="008F69F8">
        <w:rPr>
          <w:color w:val="000000"/>
        </w:rPr>
        <w:t>Rubin and Babbie (2016) suggested</w:t>
      </w:r>
      <w:r w:rsidRPr="008F69F8">
        <w:rPr>
          <w:color w:val="FF0000"/>
        </w:rPr>
        <w:t xml:space="preserve"> </w:t>
      </w:r>
      <w:r w:rsidRPr="008F69F8">
        <w:rPr>
          <w:color w:val="000000"/>
        </w:rPr>
        <w:t xml:space="preserve">a comprehensive structure of open learning that </w:t>
      </w:r>
      <w:r w:rsidRPr="008F69F8">
        <w:rPr>
          <w:color w:val="000000" w:themeColor="text1"/>
        </w:rPr>
        <w:t xml:space="preserve">may </w:t>
      </w:r>
      <w:r w:rsidRPr="008F69F8">
        <w:rPr>
          <w:color w:val="000000"/>
        </w:rPr>
        <w:t>provide</w:t>
      </w:r>
      <w:r w:rsidRPr="008F69F8">
        <w:rPr>
          <w:color w:val="FF0000"/>
        </w:rPr>
        <w:t xml:space="preserve"> </w:t>
      </w:r>
      <w:r w:rsidRPr="008F69F8">
        <w:rPr>
          <w:color w:val="000000" w:themeColor="text1"/>
        </w:rPr>
        <w:t>a</w:t>
      </w:r>
      <w:r w:rsidRPr="008F69F8">
        <w:rPr>
          <w:color w:val="FF0000"/>
        </w:rPr>
        <w:t xml:space="preserve"> </w:t>
      </w:r>
      <w:r w:rsidRPr="008F69F8">
        <w:rPr>
          <w:color w:val="000000"/>
        </w:rPr>
        <w:t xml:space="preserve">valuable learning experience as well as an effective learning process </w:t>
      </w:r>
      <w:r w:rsidRPr="008F69F8">
        <w:rPr>
          <w:color w:val="000000" w:themeColor="text1"/>
        </w:rPr>
        <w:t>for</w:t>
      </w:r>
      <w:r w:rsidRPr="008F69F8">
        <w:rPr>
          <w:color w:val="000000"/>
        </w:rPr>
        <w:t xml:space="preserve"> online students. Probably the most crucial element involved taking advantage of the spreading use of the internet to ensure a seamless, real-time flow of information from instructors to students (</w:t>
      </w:r>
      <w:r w:rsidRPr="008F69F8">
        <w:rPr>
          <w:color w:val="000000"/>
          <w:highlight w:val="white"/>
        </w:rPr>
        <w:t>Rubin &amp; Babbie, 2016)</w:t>
      </w:r>
      <w:r w:rsidRPr="008F69F8">
        <w:rPr>
          <w:color w:val="000000"/>
        </w:rPr>
        <w:t xml:space="preserve">. </w:t>
      </w:r>
      <w:r w:rsidRPr="008F69F8">
        <w:rPr>
          <w:color w:val="000000" w:themeColor="text1"/>
        </w:rPr>
        <w:t xml:space="preserve">Where the </w:t>
      </w:r>
      <w:r w:rsidRPr="008F69F8">
        <w:rPr>
          <w:color w:val="000000" w:themeColor="text1"/>
        </w:rPr>
        <w:lastRenderedPageBreak/>
        <w:t>infrastructure exists, students now use online platforms to access infinitely diverse forms of information.</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If open learning programs are to be comparable in quality </w:t>
      </w:r>
      <w:r w:rsidRPr="008F69F8">
        <w:rPr>
          <w:color w:val="000000" w:themeColor="text1"/>
        </w:rPr>
        <w:t xml:space="preserve">to the </w:t>
      </w:r>
      <w:r w:rsidRPr="008F69F8">
        <w:rPr>
          <w:color w:val="000000"/>
        </w:rPr>
        <w:t xml:space="preserve">traditional higher education experience, certain </w:t>
      </w:r>
      <w:r w:rsidRPr="008F69F8">
        <w:rPr>
          <w:i/>
          <w:iCs/>
          <w:color w:val="000000" w:themeColor="text1"/>
        </w:rPr>
        <w:t xml:space="preserve">requirements </w:t>
      </w:r>
      <w:r w:rsidRPr="008F69F8">
        <w:rPr>
          <w:color w:val="000000" w:themeColor="text1"/>
        </w:rPr>
        <w:t>are needed to ensure there sufficient and quality online</w:t>
      </w:r>
      <w:r w:rsidRPr="008F69F8">
        <w:rPr>
          <w:color w:val="000000"/>
        </w:rPr>
        <w:t xml:space="preserve"> learning experience. Platforms for open </w:t>
      </w:r>
      <w:r w:rsidRPr="008F69F8">
        <w:rPr>
          <w:color w:val="000000" w:themeColor="text1"/>
        </w:rPr>
        <w:t>learning require stability and ease of navigation</w:t>
      </w:r>
      <w:r w:rsidRPr="008F69F8">
        <w:rPr>
          <w:color w:val="FF0000"/>
        </w:rPr>
        <w:t>.</w:t>
      </w:r>
      <w:r w:rsidRPr="008F69F8">
        <w:rPr>
          <w:color w:val="000000"/>
        </w:rPr>
        <w:t xml:space="preserve"> The platform</w:t>
      </w:r>
      <w:r w:rsidRPr="008F69F8">
        <w:rPr>
          <w:color w:val="000000" w:themeColor="text1"/>
        </w:rPr>
        <w:t xml:space="preserve">, for example, </w:t>
      </w:r>
      <w:r w:rsidRPr="008F69F8">
        <w:rPr>
          <w:color w:val="000000"/>
        </w:rPr>
        <w:t>must be properly administered and monitored</w:t>
      </w:r>
      <w:r w:rsidRPr="008F69F8">
        <w:rPr>
          <w:color w:val="000000" w:themeColor="text1"/>
        </w:rPr>
        <w:t>. Each lesson module, moreover, must be comprehensive, that is, complete with resource materials that may be referenced in a learning module and bibliographic suggestions for further reading and/or practical application. (</w:t>
      </w:r>
      <w:r w:rsidRPr="008F69F8">
        <w:rPr>
          <w:color w:val="000000" w:themeColor="text1"/>
          <w:highlight w:val="white"/>
        </w:rPr>
        <w:t>Ka</w:t>
      </w:r>
      <w:r w:rsidRPr="008F69F8">
        <w:rPr>
          <w:color w:val="000000"/>
          <w:highlight w:val="white"/>
        </w:rPr>
        <w:t>dushin &amp; Harkness, 2014)</w:t>
      </w:r>
      <w:r w:rsidRPr="008F69F8">
        <w:rPr>
          <w:color w:val="000000"/>
        </w:rPr>
        <w:t xml:space="preserve">. </w:t>
      </w:r>
      <w:r w:rsidRPr="008F69F8">
        <w:rPr>
          <w:color w:val="000000" w:themeColor="text1"/>
        </w:rPr>
        <w:t xml:space="preserve">Program monitoring is crucial since </w:t>
      </w:r>
      <w:r w:rsidRPr="008F69F8">
        <w:rPr>
          <w:color w:val="000000"/>
        </w:rPr>
        <w:t xml:space="preserve">the aim is to note the specific areas of weakness that it </w:t>
      </w:r>
      <w:r w:rsidRPr="008F69F8">
        <w:rPr>
          <w:color w:val="000000" w:themeColor="text1"/>
        </w:rPr>
        <w:t>may</w:t>
      </w:r>
      <w:r w:rsidRPr="008F69F8">
        <w:rPr>
          <w:color w:val="FF0000"/>
        </w:rPr>
        <w:t xml:space="preserve"> </w:t>
      </w:r>
      <w:r w:rsidRPr="008F69F8">
        <w:rPr>
          <w:color w:val="000000"/>
        </w:rPr>
        <w:t xml:space="preserve">contain. </w:t>
      </w:r>
      <w:r w:rsidRPr="008F69F8">
        <w:rPr>
          <w:color w:val="000000" w:themeColor="text1"/>
        </w:rPr>
        <w:t xml:space="preserve">Weak areas may be identified and strengthened continuously to allow students to attain better and more productive </w:t>
      </w:r>
      <w:r w:rsidRPr="008F69F8">
        <w:rPr>
          <w:color w:val="000000"/>
        </w:rPr>
        <w:t>interactive sessions while using it (Birkenmaier et al., 2011).</w:t>
      </w:r>
    </w:p>
    <w:p w:rsidR="00C306BA" w:rsidRPr="008F69F8" w:rsidRDefault="00C306BA" w:rsidP="00C306BA">
      <w:pPr>
        <w:pBdr>
          <w:top w:val="nil"/>
          <w:left w:val="nil"/>
          <w:bottom w:val="nil"/>
          <w:right w:val="nil"/>
          <w:between w:val="nil"/>
        </w:pBdr>
        <w:spacing w:line="480" w:lineRule="auto"/>
        <w:ind w:firstLine="720"/>
        <w:rPr>
          <w:color w:val="FF0000"/>
        </w:rPr>
      </w:pPr>
      <w:r w:rsidRPr="008F69F8">
        <w:rPr>
          <w:color w:val="000000" w:themeColor="text1"/>
        </w:rPr>
        <w:t xml:space="preserve">According to York (2019), statistics derived from surveys taken at the time of the report show that </w:t>
      </w:r>
      <w:r w:rsidRPr="008F69F8">
        <w:t xml:space="preserve">more than one in four students enrolled in higher education took at least one online course. </w:t>
      </w:r>
      <w:r>
        <w:t>York (2019) further alludes that a</w:t>
      </w:r>
      <w:r w:rsidRPr="008F69F8">
        <w:t xml:space="preserve">lmost three million, or 14.3% of those students were enrolled in fully online programs. Another 15.4% were taking both the distance learning modules and non-distance modules </w:t>
      </w:r>
      <w:r w:rsidRPr="00931FC1">
        <w:t>(Birkenmaier et al., 2011).</w:t>
      </w:r>
      <w:r>
        <w:t xml:space="preserve"> </w:t>
      </w:r>
      <w:r w:rsidRPr="008F69F8">
        <w:t>Decrease in funding of higher education affected public institutions the most and provide</w:t>
      </w:r>
      <w:r>
        <w:t>d</w:t>
      </w:r>
      <w:r w:rsidRPr="008F69F8">
        <w:t xml:space="preserve"> change in funding, for instance, in Pennsylvania it went from 80% from State and 20% from tuition to complete opposite where only state provides 20%; also, state is sometimes giving more to state-affiliated institutions in Pennsylvania than to the public or state-owned institutions</w:t>
      </w:r>
      <w:r>
        <w:t xml:space="preserve"> </w:t>
      </w:r>
      <w:r w:rsidRPr="00931FC1">
        <w:t>(Howard, 2016).</w:t>
      </w:r>
      <w:r w:rsidRPr="008F69F8">
        <w:t xml:space="preserve"> Nearly five million (83%) were at the undergraduate level of study. It is important to note that public institutions have enrolled more students in distance education, with 67.8% of the distance students (Gianino, </w:t>
      </w:r>
      <w:r w:rsidRPr="008F69F8">
        <w:lastRenderedPageBreak/>
        <w:t>2016)</w:t>
      </w:r>
      <w:r w:rsidRPr="008F69F8">
        <w:rPr>
          <w:color w:val="000000"/>
        </w:rPr>
        <w:t>. There are projections that the figures are likely to rise as more people become aware of the existence of online learning programs and the vital role that online learning platforms can play.  According to the Distance Education Enrollment Report</w:t>
      </w:r>
      <w:r>
        <w:rPr>
          <w:color w:val="000000"/>
        </w:rPr>
        <w:t xml:space="preserve"> </w:t>
      </w:r>
      <w:r w:rsidRPr="008F69F8">
        <w:rPr>
          <w:color w:val="000000"/>
        </w:rPr>
        <w:t>2017</w:t>
      </w:r>
      <w:r>
        <w:rPr>
          <w:color w:val="000000"/>
        </w:rPr>
        <w:t>,</w:t>
      </w:r>
      <w:r w:rsidRPr="008F69F8">
        <w:rPr>
          <w:color w:val="000000"/>
        </w:rPr>
        <w:t xml:space="preserve"> enrollment in private institutions increased by 11.4% in 2015</w:t>
      </w:r>
      <w:r>
        <w:rPr>
          <w:color w:val="000000"/>
        </w:rPr>
        <w:t xml:space="preserve"> and</w:t>
      </w:r>
      <w:r w:rsidRPr="008F69F8">
        <w:rPr>
          <w:color w:val="000000"/>
        </w:rPr>
        <w:t xml:space="preserve"> the same period, enrollment in private for-profit institutions fell by 9.4%</w:t>
      </w:r>
      <w:r>
        <w:rPr>
          <w:color w:val="000000"/>
        </w:rPr>
        <w:t xml:space="preserve"> </w:t>
      </w:r>
      <w:r w:rsidRPr="003725A6">
        <w:rPr>
          <w:color w:val="000000"/>
        </w:rPr>
        <w:t>(Vernon et al.</w:t>
      </w:r>
      <w:r>
        <w:rPr>
          <w:color w:val="000000"/>
        </w:rPr>
        <w:t>,</w:t>
      </w:r>
      <w:r w:rsidRPr="003725A6">
        <w:rPr>
          <w:color w:val="000000"/>
        </w:rPr>
        <w:t xml:space="preserve"> 2009).</w:t>
      </w:r>
      <w:r w:rsidRPr="008F69F8">
        <w:rPr>
          <w:color w:val="000000"/>
        </w:rPr>
        <w:t xml:space="preserve"> Compelling studies have demonstrated that many people are interested in online learning programs because of the diversity and flexibility associated with distance education programs.  Another important reason why many learners are opting for distance learning programs </w:t>
      </w:r>
      <w:r w:rsidRPr="008F69F8">
        <w:rPr>
          <w:color w:val="000000" w:themeColor="text1"/>
        </w:rPr>
        <w:t xml:space="preserve">is because of </w:t>
      </w:r>
      <w:r w:rsidRPr="008F69F8">
        <w:rPr>
          <w:color w:val="000000"/>
        </w:rPr>
        <w:t xml:space="preserve">reduced commuter costs and therefore, students </w:t>
      </w:r>
      <w:r w:rsidRPr="008F69F8">
        <w:rPr>
          <w:color w:val="000000" w:themeColor="text1"/>
        </w:rPr>
        <w:t xml:space="preserve">are going for </w:t>
      </w:r>
      <w:r w:rsidRPr="008F69F8">
        <w:rPr>
          <w:color w:val="000000"/>
        </w:rPr>
        <w:t>cheaper alternatives</w:t>
      </w:r>
      <w:r>
        <w:rPr>
          <w:color w:val="000000"/>
        </w:rPr>
        <w:t>.</w:t>
      </w:r>
    </w:p>
    <w:p w:rsidR="00C306BA" w:rsidRPr="008F69F8" w:rsidRDefault="00C306BA" w:rsidP="00C306BA">
      <w:pPr>
        <w:pBdr>
          <w:top w:val="nil"/>
          <w:left w:val="nil"/>
          <w:bottom w:val="nil"/>
          <w:right w:val="nil"/>
          <w:between w:val="nil"/>
        </w:pBdr>
        <w:spacing w:after="160" w:line="480" w:lineRule="auto"/>
        <w:ind w:firstLine="720"/>
        <w:rPr>
          <w:color w:val="FF0000"/>
        </w:rPr>
      </w:pPr>
      <w:r w:rsidRPr="008F69F8">
        <w:rPr>
          <w:color w:val="000000" w:themeColor="text1"/>
        </w:rPr>
        <w:t xml:space="preserve">Despite their declining base, it is important to note that public institutions have continued to increase enrollment, while the private nonprofit colleges and universities have been on the decline for three years in a row (York, 2019). From this, we may conclude that public institutions then play a significant role in the provision of distance education. </w:t>
      </w:r>
    </w:p>
    <w:p w:rsidR="00C306BA" w:rsidRPr="008F69F8" w:rsidRDefault="00C306BA" w:rsidP="00C306BA">
      <w:pPr>
        <w:pBdr>
          <w:top w:val="nil"/>
          <w:left w:val="nil"/>
          <w:bottom w:val="nil"/>
          <w:right w:val="nil"/>
          <w:between w:val="nil"/>
        </w:pBdr>
        <w:spacing w:after="160" w:line="480" w:lineRule="auto"/>
        <w:jc w:val="center"/>
        <w:rPr>
          <w:b/>
          <w:color w:val="000000"/>
        </w:rPr>
      </w:pPr>
      <w:r w:rsidRPr="008F69F8">
        <w:rPr>
          <w:b/>
          <w:color w:val="000000"/>
        </w:rPr>
        <w:t>Innovative Models in MSW programs</w:t>
      </w:r>
    </w:p>
    <w:p w:rsidR="00C306BA" w:rsidRPr="008F69F8" w:rsidRDefault="00C306BA" w:rsidP="00C306BA">
      <w:pPr>
        <w:pBdr>
          <w:top w:val="nil"/>
          <w:left w:val="nil"/>
          <w:bottom w:val="nil"/>
          <w:right w:val="nil"/>
          <w:between w:val="nil"/>
        </w:pBdr>
        <w:spacing w:after="160" w:line="480" w:lineRule="auto"/>
        <w:ind w:firstLine="720"/>
        <w:rPr>
          <w:color w:val="000000" w:themeColor="text1"/>
        </w:rPr>
      </w:pPr>
      <w:r w:rsidRPr="008F69F8">
        <w:rPr>
          <w:color w:val="000000"/>
        </w:rPr>
        <w:t xml:space="preserve">Introduction of </w:t>
      </w:r>
      <w:r w:rsidRPr="008F69F8">
        <w:rPr>
          <w:color w:val="000000" w:themeColor="text1"/>
        </w:rPr>
        <w:t xml:space="preserve">higher </w:t>
      </w:r>
      <w:r w:rsidRPr="008F69F8">
        <w:rPr>
          <w:color w:val="000000"/>
        </w:rPr>
        <w:t xml:space="preserve">quality and advanced technological measures in the online platforms and websites that offer </w:t>
      </w:r>
      <w:r w:rsidRPr="008F69F8">
        <w:rPr>
          <w:color w:val="000000" w:themeColor="text1"/>
        </w:rPr>
        <w:t>graduate</w:t>
      </w:r>
      <w:r w:rsidRPr="008F69F8">
        <w:rPr>
          <w:color w:val="FF0000"/>
        </w:rPr>
        <w:t xml:space="preserve"> </w:t>
      </w:r>
      <w:r w:rsidRPr="008F69F8">
        <w:rPr>
          <w:color w:val="000000"/>
        </w:rPr>
        <w:t>online education in social work are among the top reasons the trends in online learning have been changing in the recent past. High interactive software programs such as ezTalks webinar, blackboard, wizIQ, articulate storyline and Udemy have greatly promoted learning and teaching of online classes</w:t>
      </w:r>
      <w:r>
        <w:rPr>
          <w:color w:val="000000"/>
        </w:rPr>
        <w:t xml:space="preserve"> </w:t>
      </w:r>
      <w:r w:rsidRPr="003725A6">
        <w:rPr>
          <w:color w:val="000000"/>
        </w:rPr>
        <w:t>(Vernon et al.</w:t>
      </w:r>
      <w:r>
        <w:rPr>
          <w:color w:val="000000"/>
        </w:rPr>
        <w:t>,</w:t>
      </w:r>
      <w:r w:rsidRPr="003725A6">
        <w:rPr>
          <w:color w:val="000000"/>
        </w:rPr>
        <w:t xml:space="preserve"> 2009)</w:t>
      </w:r>
      <w:r w:rsidRPr="008F69F8">
        <w:rPr>
          <w:color w:val="000000"/>
        </w:rPr>
        <w:t xml:space="preserve">. The availability of these software has significantly contributed to positive change in the numbers of students enrolling </w:t>
      </w:r>
      <w:r w:rsidRPr="008F69F8">
        <w:rPr>
          <w:color w:val="000000" w:themeColor="text1"/>
        </w:rPr>
        <w:t xml:space="preserve">for social work.  Internet connectivity now is relatively inexpensive; with the current generation, then, internet costs are very low and thus, affordable for those students who are economically disadvantaged. Do all these factors support the new trend in graduate? online </w:t>
      </w:r>
      <w:r w:rsidRPr="008F69F8">
        <w:rPr>
          <w:color w:val="000000" w:themeColor="text1"/>
        </w:rPr>
        <w:lastRenderedPageBreak/>
        <w:t>education. Furthermore, scholars indicate that more and more students will enroll in online classes in the future than it stands at the moment.</w:t>
      </w:r>
    </w:p>
    <w:p w:rsidR="00C306BA" w:rsidRPr="008F69F8" w:rsidRDefault="00C306BA" w:rsidP="00C306BA">
      <w:pPr>
        <w:spacing w:line="480" w:lineRule="auto"/>
        <w:ind w:firstLine="720"/>
        <w:rPr>
          <w:color w:val="FF0000"/>
          <w:lang w:val="x-none"/>
        </w:rPr>
      </w:pPr>
      <w:r w:rsidRPr="008F69F8">
        <w:t xml:space="preserve">Vernon et al. (2009) further reiterate that distance education is an essential tool for obtaining social work education as it has facilitated opening of the doors of education for some students who would never have had the time for onboard classes. Today, with the tremendous growth in technology, students from rural areas, in underserved communities, those behind in their career advancement and potential students who are financially crippled can access quality education through distance learning (Altbach et al., 2009).  </w:t>
      </w:r>
    </w:p>
    <w:p w:rsidR="00C306BA" w:rsidRPr="008F69F8" w:rsidRDefault="00C306BA" w:rsidP="00C306BA">
      <w:pPr>
        <w:spacing w:line="480" w:lineRule="auto"/>
        <w:ind w:firstLine="720"/>
        <w:rPr>
          <w:color w:val="000000" w:themeColor="text1"/>
        </w:rPr>
      </w:pPr>
      <w:r w:rsidRPr="008F69F8">
        <w:rPr>
          <w:color w:val="000000" w:themeColor="text1"/>
        </w:rPr>
        <w:t xml:space="preserve"> Social work-oriented courses that utilize modern innovations can deliver new avenues for learning and teaching. The quality development in the provision of social work education is the recent inauguration of bachelor’s programs that are accredited by the (CSWE) which </w:t>
      </w:r>
      <w:r w:rsidRPr="008F69F8">
        <w:rPr>
          <w:noProof/>
          <w:color w:val="000000" w:themeColor="text1"/>
        </w:rPr>
        <w:t>is entirely provided</w:t>
      </w:r>
      <w:r w:rsidRPr="008F69F8">
        <w:rPr>
          <w:color w:val="000000" w:themeColor="text1"/>
        </w:rPr>
        <w:t xml:space="preserve"> through distance studying. Many universities including the Texas State University-San Marcos and the University of North Dakota provide MSW degree program through distance education.  Renowned institutions such as the Florida State University deliver advanced ovation in MSW degree programs through an </w:t>
      </w:r>
      <w:r w:rsidRPr="008F69F8">
        <w:rPr>
          <w:noProof/>
          <w:color w:val="000000" w:themeColor="text1"/>
        </w:rPr>
        <w:t>online</w:t>
      </w:r>
      <w:r w:rsidRPr="008F69F8">
        <w:rPr>
          <w:color w:val="000000" w:themeColor="text1"/>
        </w:rPr>
        <w:t xml:space="preserve"> learning platform. Likewise, the College of Denver provides a distance BSW degree program. Compelling evidence supports the viability for student success in online degree program since the establishment of the institution in 1931. College of Denver enrolls about 30,000 students a year to pursue a degree in social work education</w:t>
      </w:r>
      <w:r>
        <w:rPr>
          <w:color w:val="000000" w:themeColor="text1"/>
        </w:rPr>
        <w:t xml:space="preserve"> </w:t>
      </w:r>
      <w:r w:rsidRPr="003725A6">
        <w:rPr>
          <w:color w:val="000000" w:themeColor="text1"/>
        </w:rPr>
        <w:t>(Maidment</w:t>
      </w:r>
      <w:r>
        <w:rPr>
          <w:color w:val="000000" w:themeColor="text1"/>
        </w:rPr>
        <w:t>,</w:t>
      </w:r>
      <w:r w:rsidRPr="003725A6">
        <w:rPr>
          <w:color w:val="000000" w:themeColor="text1"/>
        </w:rPr>
        <w:t xml:space="preserve"> 2005)</w:t>
      </w:r>
      <w:r w:rsidRPr="008F69F8">
        <w:rPr>
          <w:color w:val="000000" w:themeColor="text1"/>
        </w:rPr>
        <w:t xml:space="preserve">. </w:t>
      </w:r>
    </w:p>
    <w:p w:rsidR="00C306BA" w:rsidRPr="008F69F8" w:rsidRDefault="00C306BA" w:rsidP="00C306BA">
      <w:pPr>
        <w:spacing w:line="480" w:lineRule="auto"/>
        <w:ind w:firstLine="720"/>
        <w:rPr>
          <w:color w:val="FF0000"/>
        </w:rPr>
      </w:pPr>
      <w:r w:rsidRPr="008F69F8">
        <w:t xml:space="preserve">Scholars have demonstrated that the incorporation of technology in learning is important as it enhances the learning process, especially in decision making. Additionally, the internet is important in critical thinking, </w:t>
      </w:r>
      <w:r w:rsidRPr="008F69F8">
        <w:rPr>
          <w:color w:val="000000" w:themeColor="text1"/>
        </w:rPr>
        <w:t xml:space="preserve">reflection, purposes and it makes a learner responsible for his or her learning efficiency. Technology is an effective medium for the success of distance education </w:t>
      </w:r>
      <w:r w:rsidRPr="008F69F8">
        <w:rPr>
          <w:color w:val="000000" w:themeColor="text1"/>
        </w:rPr>
        <w:lastRenderedPageBreak/>
        <w:t xml:space="preserve">in social work education. A study by </w:t>
      </w:r>
      <w:bookmarkStart w:id="3" w:name="_Hlk20285496"/>
      <w:r w:rsidRPr="008F69F8">
        <w:rPr>
          <w:color w:val="000000" w:themeColor="text1"/>
        </w:rPr>
        <w:t>(</w:t>
      </w:r>
      <w:r w:rsidRPr="008F69F8">
        <w:rPr>
          <w:color w:val="000000" w:themeColor="text1"/>
          <w:shd w:val="clear" w:color="auto" w:fill="FFFFFF"/>
        </w:rPr>
        <w:t xml:space="preserve">Maidment 2005), </w:t>
      </w:r>
      <w:bookmarkEnd w:id="3"/>
      <w:r w:rsidRPr="008F69F8">
        <w:rPr>
          <w:color w:val="000000" w:themeColor="text1"/>
        </w:rPr>
        <w:t xml:space="preserve">found that computer-aided learning sufficiently promotes the teaching of social work through online platform, a practice that has positively impacted the students’ perception towards distance learning. </w:t>
      </w:r>
    </w:p>
    <w:p w:rsidR="00C306BA" w:rsidRPr="008F69F8" w:rsidRDefault="00C306BA" w:rsidP="00C306BA">
      <w:pPr>
        <w:spacing w:line="480" w:lineRule="auto"/>
        <w:ind w:firstLine="720"/>
        <w:rPr>
          <w:color w:val="000000" w:themeColor="text1"/>
        </w:rPr>
      </w:pPr>
      <w:r w:rsidRPr="008F69F8">
        <w:t xml:space="preserve">The BSW is different from MSW (Anderson, 2003). The student who enrolls to pursue a BSW </w:t>
      </w:r>
      <w:r w:rsidRPr="008F69F8">
        <w:rPr>
          <w:color w:val="000000" w:themeColor="text1"/>
        </w:rPr>
        <w:t xml:space="preserve">degree will need to take classes in subjects such as sociology, political science, psychology, and an introductory social work course. However, BSW is not only limited to these courses. Much depends on the institution's level and standard of progress in delivering distance learning. The completion of the MSW program, on the other hand, requires that the student merely declare an interest in an area of </w:t>
      </w:r>
      <w:r>
        <w:rPr>
          <w:color w:val="000000" w:themeColor="text1"/>
        </w:rPr>
        <w:t>specialization. Haythornthwaite</w:t>
      </w:r>
      <w:r w:rsidRPr="008F69F8">
        <w:rPr>
          <w:color w:val="000000" w:themeColor="text1"/>
        </w:rPr>
        <w:t xml:space="preserve"> (2000) posits that the most common subjects of specialization in MSW programs include social work education, child welfare, and substance abuse. Many of the students who enroll for an MSW degree will be required to base their program on the specialization selected on the day of enrollment. Another significant difference between the BSW and MSW is admission requirements. The principal requirement a student needs to enter a BSW degree program admission accredited four-year university or college and the student should also declare social work as the major.  An MSW candidate is expected to have a BSW degree. Furthermore, many candidates have earned considerable undergraduate credits in two major, sociology and psychology. Additionally, some institutions will demand that all MSW candidates should have proficiency knowledge in a second language. The DSW differs from the MSW in that the DSW program awards a candidate a doctorate which permits the degree holder to become a social work researcher.  </w:t>
      </w:r>
    </w:p>
    <w:p w:rsidR="00C306BA" w:rsidRPr="008F69F8" w:rsidRDefault="00C306BA" w:rsidP="00C306BA">
      <w:pPr>
        <w:spacing w:line="480" w:lineRule="auto"/>
        <w:ind w:firstLine="720"/>
        <w:rPr>
          <w:color w:val="FF0000"/>
        </w:rPr>
      </w:pPr>
      <w:r w:rsidRPr="008F69F8">
        <w:t xml:space="preserve">The practice of social work has to have relevance for the online learner since candidates </w:t>
      </w:r>
      <w:r w:rsidRPr="008F69F8">
        <w:rPr>
          <w:color w:val="000000" w:themeColor="text1"/>
        </w:rPr>
        <w:t>who have a BSW degree can secure an employment opportunity in a social service agency</w:t>
      </w:r>
      <w:r w:rsidRPr="008F69F8">
        <w:rPr>
          <w:color w:val="000000" w:themeColor="text1"/>
          <w:shd w:val="clear" w:color="auto" w:fill="FFFFFF"/>
        </w:rPr>
        <w:t xml:space="preserve"> (Petracchi &amp; Patchner, 2001)</w:t>
      </w:r>
      <w:r w:rsidRPr="008F69F8">
        <w:rPr>
          <w:color w:val="000000" w:themeColor="text1"/>
        </w:rPr>
        <w:t xml:space="preserve">. Alternatively, the holders of BSW can opt to register for an MSW. </w:t>
      </w:r>
      <w:r w:rsidRPr="008F69F8">
        <w:rPr>
          <w:color w:val="000000" w:themeColor="text1"/>
        </w:rPr>
        <w:lastRenderedPageBreak/>
        <w:t>The practice of social work also gives the candidate more opportunity to learn and understand the emotional, psychological and social nature of human behavior. The student has opportunities to observe the social environment to comprehend human psychology, social welfare, and program management.  Working with skilled social workers, students can have input, contributing to solutions to social problems in communities.</w:t>
      </w:r>
    </w:p>
    <w:p w:rsidR="00C306BA" w:rsidRPr="00D16482" w:rsidRDefault="00C306BA" w:rsidP="00C306BA">
      <w:pPr>
        <w:spacing w:line="480" w:lineRule="auto"/>
        <w:ind w:firstLine="720"/>
        <w:rPr>
          <w:color w:val="000000" w:themeColor="text1"/>
        </w:rPr>
      </w:pPr>
      <w:r w:rsidRPr="008F69F8">
        <w:t xml:space="preserve">Online </w:t>
      </w:r>
      <w:r w:rsidRPr="008F69F8">
        <w:rPr>
          <w:color w:val="000000" w:themeColor="text1"/>
        </w:rPr>
        <w:t xml:space="preserve">learning gives a chance for a student to access higher education from a perception of equitable groups of online learners. While the technology needed to support online learning today is affordable, </w:t>
      </w:r>
      <w:r w:rsidRPr="008F69F8">
        <w:rPr>
          <w:noProof/>
          <w:color w:val="000000" w:themeColor="text1"/>
        </w:rPr>
        <w:t>there are challenges still</w:t>
      </w:r>
      <w:r w:rsidRPr="008F69F8">
        <w:rPr>
          <w:color w:val="000000" w:themeColor="text1"/>
        </w:rPr>
        <w:t xml:space="preserve"> affect distance learning. Wolfson et al. (2005) posit that the need for a sense of belonging is therefore </w:t>
      </w:r>
      <w:r w:rsidRPr="008F69F8">
        <w:rPr>
          <w:noProof/>
          <w:color w:val="000000" w:themeColor="text1"/>
        </w:rPr>
        <w:t>key</w:t>
      </w:r>
      <w:r w:rsidRPr="008F69F8">
        <w:rPr>
          <w:color w:val="000000" w:themeColor="text1"/>
        </w:rPr>
        <w:t xml:space="preserve"> in determining the perceptions of students in learning. Strategies that focus on fostering a sense of recognition and inclusion in the distance learning paradigm seems promising in handling student retention in online learning spheres. Students who pursue online programs need to have a sense of belonging because such spirit guides them to have a feeling of belonging to a functional place of learning just like their counterparts in the traditional classroom. A sense of belonging can </w:t>
      </w:r>
      <w:r w:rsidRPr="008F69F8">
        <w:rPr>
          <w:noProof/>
          <w:color w:val="000000" w:themeColor="text1"/>
        </w:rPr>
        <w:t>be developed</w:t>
      </w:r>
      <w:r w:rsidRPr="008F69F8">
        <w:rPr>
          <w:color w:val="000000" w:themeColor="text1"/>
        </w:rPr>
        <w:t xml:space="preserve"> through intentionality built into these programs. </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Currently, several options are available for students pursuing social work. Social work education includes ad hoc online programs and courses, fully online programs, School-as-a-Service, educational partnership, blended or hybrid courses, and flipped classrooms’ teaching strategies. </w:t>
      </w:r>
      <w:r w:rsidRPr="008F69F8">
        <w:rPr>
          <w:color w:val="000000" w:themeColor="text1"/>
        </w:rPr>
        <w:t xml:space="preserve">Massive Open Online Courses (MOOCs) are offered at a given time as suggested by the lecturers online. One only needs to log into the account to access the materials for the lecture or the videos posted by the instructor (Hill, 2014). Students engaged in open learning programs deem MOOCs such as Duolingo, Google premier, Treehouse, Lynda, Codecademy and Education First learning as the most appropriate because they create effective channels of </w:t>
      </w:r>
      <w:r w:rsidRPr="008F69F8">
        <w:rPr>
          <w:color w:val="000000" w:themeColor="text1"/>
        </w:rPr>
        <w:lastRenderedPageBreak/>
        <w:t>solving any problems they might be experiencing, giving the student regular access to the instructor. (Atkins &amp; Frederico, 2017). Online education has also been determined to be effective in reducing the challenges that MSW students are likely to have in accessing diversity in people who possess the appropriate information for dealing with the problems students experience in the administration of social work activities</w:t>
      </w:r>
      <w:r w:rsidRPr="008F69F8">
        <w:rPr>
          <w:rFonts w:eastAsia="Calibri"/>
          <w:color w:val="000000" w:themeColor="text1"/>
        </w:rPr>
        <w:t xml:space="preserve"> </w:t>
      </w:r>
      <w:r w:rsidRPr="008F69F8">
        <w:rPr>
          <w:color w:val="000000" w:themeColor="text1"/>
        </w:rPr>
        <w:t xml:space="preserve">(Howard, 2016). </w:t>
      </w:r>
    </w:p>
    <w:p w:rsidR="00C306BA" w:rsidRPr="008F69F8" w:rsidRDefault="00C306BA" w:rsidP="00C306BA">
      <w:pPr>
        <w:pBdr>
          <w:top w:val="nil"/>
          <w:left w:val="nil"/>
          <w:bottom w:val="nil"/>
          <w:right w:val="nil"/>
          <w:between w:val="nil"/>
        </w:pBdr>
        <w:spacing w:line="480" w:lineRule="auto"/>
        <w:ind w:firstLine="720"/>
        <w:rPr>
          <w:color w:val="FF0000"/>
        </w:rPr>
      </w:pPr>
      <w:r w:rsidRPr="008F69F8">
        <w:rPr>
          <w:color w:val="000000"/>
        </w:rPr>
        <w:t xml:space="preserve">Students are more likely to experience a variety of models in higher education which encourage interest in personal research in line with these different concepts. This exposure can help students learn more about the skills required to improve their performance. Online students are also better able to track the trends evidenced in social work practice. They learn the input that they can have in the field once they gain the chance to participate fully in community activities (Watkin, 2012). This enables students to be more flexible in handling their school work as well as careers. </w:t>
      </w:r>
    </w:p>
    <w:p w:rsidR="00C306BA" w:rsidRPr="008F69F8" w:rsidRDefault="00C306BA" w:rsidP="00C306BA">
      <w:pPr>
        <w:spacing w:line="480" w:lineRule="auto"/>
        <w:jc w:val="center"/>
        <w:rPr>
          <w:b/>
        </w:rPr>
      </w:pPr>
      <w:r w:rsidRPr="008F69F8">
        <w:rPr>
          <w:b/>
        </w:rPr>
        <w:t>MSW Educational Outcomes</w:t>
      </w:r>
    </w:p>
    <w:p w:rsidR="00C306BA" w:rsidRPr="008F69F8" w:rsidRDefault="00C306BA" w:rsidP="00C306BA">
      <w:pPr>
        <w:spacing w:line="480" w:lineRule="auto"/>
        <w:ind w:firstLine="720"/>
        <w:rPr>
          <w:color w:val="000000" w:themeColor="text1"/>
        </w:rPr>
      </w:pPr>
      <w:r w:rsidRPr="008F69F8">
        <w:t xml:space="preserve">In the recent past, online education MSW programs have drastically increased. </w:t>
      </w:r>
      <w:r w:rsidRPr="008F69F8">
        <w:rPr>
          <w:color w:val="000000"/>
        </w:rPr>
        <w:t xml:space="preserve">According </w:t>
      </w:r>
      <w:r w:rsidRPr="008F69F8">
        <w:rPr>
          <w:color w:val="000000" w:themeColor="text1"/>
        </w:rPr>
        <w:t xml:space="preserve">to </w:t>
      </w:r>
      <w:r w:rsidRPr="008F69F8">
        <w:rPr>
          <w:color w:val="000000" w:themeColor="text1"/>
          <w:highlight w:val="white"/>
        </w:rPr>
        <w:t>Augustine &amp; Gentle-Genuity (2013</w:t>
      </w:r>
      <w:r w:rsidRPr="008F69F8">
        <w:rPr>
          <w:color w:val="000000" w:themeColor="text1"/>
        </w:rPr>
        <w:t>), from the statistics provided by CSWE in the United State approximately 20 online education MSW programs exist. Among these programs, some are hybrids that offer a systematic mix of onsite classes utilizing online instructions for teaching (</w:t>
      </w:r>
      <w:r w:rsidRPr="008F69F8">
        <w:rPr>
          <w:color w:val="000000" w:themeColor="text1"/>
          <w:highlight w:val="white"/>
        </w:rPr>
        <w:t>Fook, 2016</w:t>
      </w:r>
      <w:r w:rsidRPr="008F69F8">
        <w:rPr>
          <w:color w:val="000000" w:themeColor="text1"/>
        </w:rPr>
        <w:t xml:space="preserve">). Other programs use satellite locations and interactive TVs, however, most of education MSW services are currently being offered online. Collins &amp; Halverson (2018) argue that the online figures show that, at the moment 9 of CSWE- structured distance education curricula are delivered online differently applying asynchronous and interactive synchronous modalities. Simonson et al. (2014) defined </w:t>
      </w:r>
      <w:r w:rsidRPr="008F69F8">
        <w:rPr>
          <w:i/>
          <w:iCs/>
          <w:color w:val="000000" w:themeColor="text1"/>
        </w:rPr>
        <w:t xml:space="preserve">asynchronous </w:t>
      </w:r>
      <w:r w:rsidRPr="008F69F8">
        <w:rPr>
          <w:color w:val="000000" w:themeColor="text1"/>
        </w:rPr>
        <w:t xml:space="preserve">as an assignment that can be accomplished in a student's proposal within a given timeframe. Synchronous, on the other hand, </w:t>
      </w:r>
      <w:r w:rsidRPr="008F69F8">
        <w:rPr>
          <w:color w:val="000000" w:themeColor="text1"/>
        </w:rPr>
        <w:lastRenderedPageBreak/>
        <w:t>refers to a class that is held, live through the use of an online platform system in which both the students and instructor take part simultaneously (</w:t>
      </w:r>
      <w:r w:rsidRPr="008F69F8">
        <w:rPr>
          <w:color w:val="000000" w:themeColor="text1"/>
          <w:shd w:val="clear" w:color="auto" w:fill="FFFFFF"/>
        </w:rPr>
        <w:t>Allen &amp; Seaman, 2017).</w:t>
      </w:r>
      <w:r w:rsidRPr="008F69F8">
        <w:rPr>
          <w:color w:val="000000" w:themeColor="text1"/>
        </w:rPr>
        <w:t xml:space="preserve"> </w:t>
      </w:r>
    </w:p>
    <w:p w:rsidR="00C306BA" w:rsidRPr="008F69F8" w:rsidRDefault="00C306BA" w:rsidP="00C306BA">
      <w:pPr>
        <w:spacing w:line="480" w:lineRule="auto"/>
        <w:ind w:firstLine="720"/>
        <w:rPr>
          <w:color w:val="000000" w:themeColor="text1"/>
        </w:rPr>
      </w:pPr>
      <w:r w:rsidRPr="008F69F8">
        <w:rPr>
          <w:color w:val="000000" w:themeColor="text1"/>
        </w:rPr>
        <w:t xml:space="preserve">As a result of the relative modernity of distance education, there is no distinct definition which describes such a program well. Studies by </w:t>
      </w:r>
      <w:r>
        <w:rPr>
          <w:color w:val="000000" w:themeColor="text1"/>
          <w:shd w:val="clear" w:color="auto" w:fill="FFFFFF"/>
        </w:rPr>
        <w:t xml:space="preserve">Caruth &amp; Caruth </w:t>
      </w:r>
      <w:r w:rsidRPr="008F69F8">
        <w:rPr>
          <w:color w:val="000000" w:themeColor="text1"/>
          <w:shd w:val="clear" w:color="auto" w:fill="FFFFFF"/>
        </w:rPr>
        <w:t>(2013</w:t>
      </w:r>
      <w:r w:rsidRPr="008F69F8">
        <w:rPr>
          <w:color w:val="000000" w:themeColor="text1"/>
        </w:rPr>
        <w:t>) defined distance or online education as a method of imparting knowledge that is largely dependent on the internet as the key source of disseminating information, delivering content and collaboration between the students and the instructors. Unlike face-to-face education, distance education does not imply a standalone educational program that is devoid of significant internet-oriented instruction. Additionally, online education is not limited to hybrids where a section of the content is offered in media different from the internet such as video, TV, and radio (</w:t>
      </w:r>
      <w:r w:rsidRPr="008F69F8">
        <w:rPr>
          <w:color w:val="000000" w:themeColor="text1"/>
          <w:shd w:val="clear" w:color="auto" w:fill="FFFFFF"/>
        </w:rPr>
        <w:t>Seaman et al., 2018)</w:t>
      </w:r>
      <w:r w:rsidRPr="008F69F8">
        <w:rPr>
          <w:color w:val="000000" w:themeColor="text1"/>
        </w:rPr>
        <w:t xml:space="preserve">. </w:t>
      </w:r>
    </w:p>
    <w:p w:rsidR="00C306BA" w:rsidRPr="008F69F8" w:rsidRDefault="00C306BA" w:rsidP="00C306BA">
      <w:pPr>
        <w:spacing w:line="480" w:lineRule="auto"/>
        <w:ind w:firstLine="720"/>
      </w:pPr>
      <w:r w:rsidRPr="008F69F8">
        <w:rPr>
          <w:color w:val="000000" w:themeColor="text1"/>
        </w:rPr>
        <w:t>According to the US Department of Education’s Office of planning, evaluation and policy development and program studies, online social work services have greatly increased because of heightened demand for accessibility and flexibility contributed by various elements (</w:t>
      </w:r>
      <w:r w:rsidRPr="008F69F8">
        <w:rPr>
          <w:color w:val="000000" w:themeColor="text1"/>
          <w:shd w:val="clear" w:color="auto" w:fill="FFFFFF"/>
        </w:rPr>
        <w:t>Kentnor, 2015</w:t>
      </w:r>
      <w:r w:rsidRPr="008F69F8">
        <w:rPr>
          <w:color w:val="000000" w:themeColor="text1"/>
        </w:rPr>
        <w:t xml:space="preserve">).  Various pieces of literature reviews </w:t>
      </w:r>
      <w:r w:rsidRPr="008F69F8">
        <w:t xml:space="preserve">report that increased financial constraints, high transport costs and emergence of nontraditional families are profound reasons that have led to increased demand for distance education among the students. Notable research conducted </w:t>
      </w:r>
      <w:r w:rsidRPr="008F69F8">
        <w:rPr>
          <w:color w:val="222222"/>
          <w:shd w:val="clear" w:color="auto" w:fill="FFFFFF"/>
        </w:rPr>
        <w:t xml:space="preserve">by Murphy &amp; Rodríguez-Manzanares (2012) </w:t>
      </w:r>
      <w:r w:rsidRPr="008F69F8">
        <w:t>found that enrollment for distance programs in higher education increased by 12 percent whereas face to face programs only witnessed a 23 percent increase. Furthermore, the report demonstrated that almost 30 percent of all the higher education students pursue distance education and programs</w:t>
      </w:r>
      <w:r w:rsidRPr="003725A6">
        <w:t xml:space="preserve"> </w:t>
      </w:r>
      <w:r>
        <w:t>(</w:t>
      </w:r>
      <w:r w:rsidRPr="003725A6">
        <w:t>Simpson &amp; Anderson</w:t>
      </w:r>
      <w:r>
        <w:t xml:space="preserve">, </w:t>
      </w:r>
      <w:r w:rsidRPr="003725A6">
        <w:t>2012)</w:t>
      </w:r>
      <w:r w:rsidRPr="008F69F8">
        <w:t xml:space="preserve">. </w:t>
      </w:r>
      <w:r>
        <w:t>D</w:t>
      </w:r>
      <w:r w:rsidRPr="008F69F8">
        <w:t>istance education has greatly contributed to the success of social work education. Many institutions explain that flexibility seen in online programming makes learning and students</w:t>
      </w:r>
      <w:r w:rsidRPr="008F69F8">
        <w:rPr>
          <w:color w:val="FF0000"/>
        </w:rPr>
        <w:t>’</w:t>
      </w:r>
      <w:r w:rsidRPr="008F69F8">
        <w:t xml:space="preserve"> participation in MSW classes more tangible and productive for many. (</w:t>
      </w:r>
      <w:r w:rsidRPr="008F69F8">
        <w:rPr>
          <w:color w:val="222222"/>
          <w:shd w:val="clear" w:color="auto" w:fill="FFFFFF"/>
        </w:rPr>
        <w:t>Hismanoglu, 2012)</w:t>
      </w:r>
      <w:r w:rsidRPr="008F69F8">
        <w:t xml:space="preserve">. </w:t>
      </w:r>
    </w:p>
    <w:p w:rsidR="00C306BA" w:rsidRPr="008F69F8" w:rsidRDefault="00C306BA" w:rsidP="00C306BA">
      <w:pPr>
        <w:spacing w:line="480" w:lineRule="auto"/>
        <w:ind w:firstLine="720"/>
        <w:rPr>
          <w:color w:val="000000" w:themeColor="text1"/>
        </w:rPr>
      </w:pPr>
      <w:r w:rsidRPr="008F69F8">
        <w:lastRenderedPageBreak/>
        <w:t>As much as distance pedagogical methods have accomplished consistent inroads between social work education, some professionals warn that virtual class programs cannot replace the face to face programs</w:t>
      </w:r>
      <w:r w:rsidRPr="008F69F8">
        <w:rPr>
          <w:color w:val="222222"/>
          <w:shd w:val="clear" w:color="auto" w:fill="FFFFFF"/>
        </w:rPr>
        <w:t xml:space="preserve"> (Moore, 2014).</w:t>
      </w:r>
      <w:r w:rsidRPr="008F69F8">
        <w:t xml:space="preserve"> Moreover, the scholars argue that virtual educational programs have failed to provide equal opportunities for socialization that is need for a healthy profession. </w:t>
      </w:r>
      <w:bookmarkStart w:id="4" w:name="_Hlk20285772"/>
      <w:r w:rsidRPr="008F69F8">
        <w:t xml:space="preserve">Jelfs &amp; Richardson (2013) </w:t>
      </w:r>
      <w:bookmarkEnd w:id="4"/>
      <w:r w:rsidRPr="008F69F8">
        <w:t xml:space="preserve">posit that critics of distance education programs demonstrate that web-based designs provide inadequate collaboration and personal interaction, both of which form the center stage for establishment of crucial interpersonal skills that every profession wants employees to </w:t>
      </w:r>
      <w:r w:rsidRPr="008F69F8">
        <w:rPr>
          <w:color w:val="000000" w:themeColor="text1"/>
        </w:rPr>
        <w:t xml:space="preserve">exemplify and deploy. </w:t>
      </w:r>
    </w:p>
    <w:p w:rsidR="00C306BA" w:rsidRPr="008F69F8" w:rsidRDefault="00C306BA" w:rsidP="00C306BA">
      <w:pPr>
        <w:spacing w:line="480" w:lineRule="auto"/>
        <w:ind w:firstLine="720"/>
      </w:pPr>
      <w:r w:rsidRPr="008F69F8">
        <w:t xml:space="preserve">Opponents of online education also hold that online structured learning cannot give similar opportunities given by the traditional learning systems regarding debate, discussions, and dialogue essential for expansion of authentic intellectual levels. Like that is not enough, other critics maintain that in case of unstable internet connectivity learning can be compromised which leads to minimal students’ satisfaction. </w:t>
      </w:r>
    </w:p>
    <w:p w:rsidR="00C306BA" w:rsidRPr="008F69F8" w:rsidRDefault="00C306BA" w:rsidP="00C306BA">
      <w:pPr>
        <w:spacing w:line="480" w:lineRule="auto"/>
        <w:ind w:firstLine="720"/>
      </w:pPr>
      <w:r w:rsidRPr="008F69F8">
        <w:t>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 Regardless of this open requirement, limited research has been executed 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decade, a couple of researches have endeavored to investigate effectiveness of offering clinical social work courses through distance education.</w:t>
      </w:r>
    </w:p>
    <w:p w:rsidR="00C306BA" w:rsidRPr="008F69F8" w:rsidRDefault="00C306BA" w:rsidP="00C306BA">
      <w:pPr>
        <w:spacing w:line="480" w:lineRule="auto"/>
        <w:ind w:firstLine="720"/>
      </w:pPr>
      <w:r w:rsidRPr="008F69F8">
        <w:lastRenderedPageBreak/>
        <w:t>The outcomes of these researches have demonstrated no big variance between the online and traditional students. Particularly, quasi-experimental research by (</w:t>
      </w:r>
      <w:r w:rsidRPr="008F69F8">
        <w:rPr>
          <w:color w:val="222222"/>
          <w:shd w:val="clear" w:color="auto" w:fill="FFFFFF"/>
        </w:rPr>
        <w:t>Barbour</w:t>
      </w:r>
      <w:r w:rsidRPr="008F69F8">
        <w:t xml:space="preserve"> et al., </w:t>
      </w:r>
      <w:r w:rsidRPr="008F69F8">
        <w:rPr>
          <w:color w:val="222222"/>
          <w:shd w:val="clear" w:color="auto" w:fill="FFFFFF"/>
        </w:rPr>
        <w:t>2013</w:t>
      </w:r>
      <w:r w:rsidRPr="008F69F8">
        <w:t>) demonstrated that imparting clinical experiences via distance learning programs is an essential and effective modality that any society can rely upon. The only satisfactory study so far that carried an investigation about the results of online MSW program was performed by Florida State University (FSU). The university is known for offering a part-time program in online studies specifically for clinical students. According to the posttests that were presented by the FSU no significant differences were identified between online social work programs and traditional classroom.</w:t>
      </w:r>
    </w:p>
    <w:p w:rsidR="00C306BA" w:rsidRPr="008F69F8" w:rsidRDefault="00C306BA" w:rsidP="00C306BA">
      <w:pPr>
        <w:pStyle w:val="Heading2"/>
        <w:spacing w:line="480" w:lineRule="auto"/>
        <w:jc w:val="center"/>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Work Education</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rFonts w:eastAsia="Calibri"/>
          <w:color w:val="000000"/>
        </w:rPr>
        <w:t>The Council on Social Work Education (CSWE) keeps a directory that is used by programs for social work education that offers online education facilities. The CSWE accepts that the lists for social work programs cannot be exhausted</w:t>
      </w:r>
      <w:r w:rsidRPr="008F69F8">
        <w:rPr>
          <w:color w:val="000000"/>
        </w:rPr>
        <w:t>. Research demonstrates that by late 2012 there were about bachelor of social work (BSW) and more than 20 masters of social work (MSW) programs recorded to provide adequate distance learning options</w:t>
      </w:r>
      <w:r>
        <w:rPr>
          <w:color w:val="000000"/>
        </w:rPr>
        <w:t xml:space="preserve"> (Benneworth</w:t>
      </w:r>
      <w:r w:rsidRPr="003725A6">
        <w:rPr>
          <w:color w:val="000000"/>
        </w:rPr>
        <w:t xml:space="preserve"> &amp; Jones, 2012)</w:t>
      </w:r>
      <w:r w:rsidRPr="008F69F8">
        <w:rPr>
          <w:color w:val="000000"/>
        </w:rPr>
        <w:t>. Growing social problems, such as poverty, urbanization, and slum congestion, brought self-help groups and organizations together to address them. Eventually, petitions to have social education formalized were presented to various government organs on the grounds of its importance. During the final years of the 19</w:t>
      </w:r>
      <w:r w:rsidRPr="008F69F8">
        <w:rPr>
          <w:color w:val="000000"/>
          <w:vertAlign w:val="superscript"/>
        </w:rPr>
        <w:t>th</w:t>
      </w:r>
      <w:r w:rsidRPr="008F69F8">
        <w:rPr>
          <w:color w:val="000000"/>
        </w:rPr>
        <w:t xml:space="preserve"> century, these programs were accepted in different institutions of higher learning </w:t>
      </w:r>
      <w:bookmarkStart w:id="5" w:name="_Hlk20285984"/>
      <w:r w:rsidRPr="008F69F8">
        <w:rPr>
          <w:color w:val="000000"/>
        </w:rPr>
        <w:t>(</w:t>
      </w:r>
      <w:r w:rsidRPr="008F69F8">
        <w:rPr>
          <w:color w:val="000000"/>
          <w:highlight w:val="white"/>
        </w:rPr>
        <w:t>Greene, 2017).</w:t>
      </w:r>
      <w:r w:rsidRPr="008F69F8">
        <w:rPr>
          <w:color w:val="000000"/>
        </w:rPr>
        <w:t xml:space="preserve"> </w:t>
      </w:r>
      <w:bookmarkEnd w:id="5"/>
      <w:r w:rsidRPr="008F69F8">
        <w:rPr>
          <w:color w:val="000000"/>
        </w:rPr>
        <w:t>The first notable initiative was the collaboration between The New York College of Science and Columbia University, where they offered the first class on social work. Later, in 1904, in Boston, Simmons College joined with Harvard University and established the Boston School of Social Workers</w:t>
      </w:r>
      <w:r w:rsidRPr="003725A6">
        <w:t xml:space="preserve"> </w:t>
      </w:r>
      <w:r>
        <w:t>(</w:t>
      </w:r>
      <w:r w:rsidRPr="003725A6">
        <w:rPr>
          <w:color w:val="000000"/>
        </w:rPr>
        <w:t>Jelfs &amp; Richardson, 2013)</w:t>
      </w:r>
      <w:r w:rsidRPr="008F69F8">
        <w:rPr>
          <w:color w:val="000000"/>
        </w:rPr>
        <w:t xml:space="preserve">. </w:t>
      </w:r>
      <w:r w:rsidRPr="008F69F8">
        <w:rPr>
          <w:color w:val="000000"/>
        </w:rPr>
        <w:lastRenderedPageBreak/>
        <w:t>Simmons was the first college to train social workers. By 1908, The Chicago School of Civics and Philanthropy was offering a full course on social work education. This earned it the name University of Chicago School of Social Service Administration</w:t>
      </w:r>
      <w:r>
        <w:rPr>
          <w:color w:val="000000"/>
        </w:rPr>
        <w:t>.</w:t>
      </w:r>
      <w:r w:rsidRPr="008F69F8">
        <w:rPr>
          <w:color w:val="000000"/>
        </w:rPr>
        <w:t xml:space="preserve"> </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There was a brief </w:t>
      </w:r>
      <w:r w:rsidRPr="008F69F8">
        <w:rPr>
          <w:color w:val="000000" w:themeColor="text1"/>
        </w:rPr>
        <w:t xml:space="preserve">period of </w:t>
      </w:r>
      <w:r w:rsidRPr="008F69F8">
        <w:rPr>
          <w:color w:val="000000"/>
        </w:rPr>
        <w:t>uncertainty in 1915 when Dr. Abraham Flexner at The National Conference of Charities and Corrections argued that social work could not be described as a profession due to is lack of specification in terms of knowledge, skills, and practice in handling challenges affecting humanity</w:t>
      </w:r>
      <w:r>
        <w:rPr>
          <w:color w:val="000000"/>
        </w:rPr>
        <w:t xml:space="preserve"> </w:t>
      </w:r>
      <w:r w:rsidRPr="003725A6">
        <w:rPr>
          <w:color w:val="000000"/>
        </w:rPr>
        <w:t>(Knott &amp; Scragg, 2016)</w:t>
      </w:r>
      <w:r w:rsidRPr="008F69F8">
        <w:rPr>
          <w:color w:val="000000"/>
        </w:rPr>
        <w:t>. This led to professionalizing of this discipline through concentration on scientific methods as well as casework. In 1918, the American Association of Hospital Workers was launched as a way of improving the opportunities for formal education in the field of social work</w:t>
      </w:r>
      <w:r w:rsidRPr="003613CA">
        <w:t xml:space="preserve"> </w:t>
      </w:r>
      <w:r>
        <w:t>(</w:t>
      </w:r>
      <w:r w:rsidRPr="003613CA">
        <w:rPr>
          <w:color w:val="000000"/>
        </w:rPr>
        <w:t>Ramsay, 1988</w:t>
      </w:r>
      <w:r>
        <w:rPr>
          <w:color w:val="000000"/>
        </w:rPr>
        <w:t>)</w:t>
      </w:r>
      <w:r w:rsidRPr="008F69F8">
        <w:rPr>
          <w:color w:val="000000"/>
        </w:rPr>
        <w:t>. In 1919, The American Association of Schools of Social Work (AASSW) was established as the Association of Training schools for Professional Social Workers. This aimed at establishing a scientific base for handling challenging behaviors and patients who experienced mental dysfunction. In 1932, AASSW wrote the procedures for accrediting social workers as an affiliate of the already existing America Association of Psychiatric Social Workers (AAPSW) and the American Association of Medical Social Workers (AAMSW) (</w:t>
      </w:r>
      <w:bookmarkStart w:id="6" w:name="_Hlk20285908"/>
      <w:r w:rsidRPr="008F69F8">
        <w:rPr>
          <w:color w:val="000000"/>
          <w:highlight w:val="white"/>
        </w:rPr>
        <w:t>Ramsay, 1988</w:t>
      </w:r>
      <w:bookmarkEnd w:id="6"/>
      <w:r w:rsidRPr="008F69F8">
        <w:rPr>
          <w:color w:val="000000"/>
        </w:rPr>
        <w:t>). In 1937, the National Association of Schools of Social Administration (NASA) was formed with the aim of controlling the membership in social work education programs in institutions of higher learning. They called for a general approach to forming and executing social work education.</w:t>
      </w:r>
    </w:p>
    <w:p w:rsidR="00C306BA" w:rsidRPr="008F69F8" w:rsidRDefault="00C306BA" w:rsidP="00C306BA">
      <w:pPr>
        <w:pBdr>
          <w:top w:val="nil"/>
          <w:left w:val="nil"/>
          <w:bottom w:val="nil"/>
          <w:right w:val="nil"/>
          <w:between w:val="nil"/>
        </w:pBdr>
        <w:spacing w:after="160" w:line="480" w:lineRule="auto"/>
        <w:ind w:firstLine="720"/>
        <w:rPr>
          <w:color w:val="000000" w:themeColor="text1"/>
        </w:rPr>
      </w:pPr>
      <w:r w:rsidRPr="008F69F8">
        <w:rPr>
          <w:color w:val="000000" w:themeColor="text1"/>
        </w:rPr>
        <w:t>NASSA and AASSW joined with other local and regional associations to form the National Council on Social Work Education in 1946</w:t>
      </w:r>
      <w:r>
        <w:rPr>
          <w:color w:val="000000" w:themeColor="text1"/>
        </w:rPr>
        <w:t xml:space="preserve"> </w:t>
      </w:r>
      <w:r w:rsidRPr="003613CA">
        <w:rPr>
          <w:color w:val="000000" w:themeColor="text1"/>
        </w:rPr>
        <w:t>(Greene, 2017)</w:t>
      </w:r>
      <w:r w:rsidRPr="008F69F8">
        <w:rPr>
          <w:color w:val="000000" w:themeColor="text1"/>
        </w:rPr>
        <w:t>. In the wake of the 2</w:t>
      </w:r>
      <w:r w:rsidRPr="008F69F8">
        <w:rPr>
          <w:color w:val="000000" w:themeColor="text1"/>
          <w:vertAlign w:val="superscript"/>
        </w:rPr>
        <w:t>nd</w:t>
      </w:r>
      <w:r w:rsidRPr="008F69F8">
        <w:rPr>
          <w:color w:val="000000" w:themeColor="text1"/>
        </w:rPr>
        <w:t xml:space="preserve"> World War, the need for people with social work skills increased as a consequence of the high number of humanitarian needs, especially in treating war veterans.  A task force was formed and </w:t>
      </w:r>
      <w:r w:rsidRPr="008F69F8">
        <w:rPr>
          <w:color w:val="000000" w:themeColor="text1"/>
        </w:rPr>
        <w:lastRenderedPageBreak/>
        <w:t xml:space="preserve">recommended the establishment of an umbrella association to manage the process of accreditation of social work education programs and practice. Consequently, NASA and AASSW were disbanded in favor of the establishment of the Council on Social Work Education (CSWE) at the beginning of 1952 (Kendall, 2002). Its main aim was to develop comprehensive social education programs to address the needs of the United States, as well as its territories, and Canada.  </w:t>
      </w:r>
    </w:p>
    <w:p w:rsidR="00C306BA" w:rsidRPr="008F69F8" w:rsidRDefault="00C306BA" w:rsidP="00C306BA">
      <w:pPr>
        <w:spacing w:line="480" w:lineRule="auto"/>
        <w:rPr>
          <w:color w:val="000000"/>
        </w:rPr>
      </w:pPr>
      <w:r w:rsidRPr="008F69F8">
        <w:rPr>
          <w:color w:val="000000"/>
        </w:rPr>
        <w:tab/>
      </w:r>
      <w:r w:rsidRPr="008F69F8">
        <w:rPr>
          <w:color w:val="000000" w:themeColor="text1"/>
        </w:rPr>
        <w:t>The 60s saw an increase in social work after the 1964 declaration of the war against poverty by President Johnson</w:t>
      </w:r>
      <w:r w:rsidRPr="008F69F8">
        <w:rPr>
          <w:rFonts w:eastAsia="Calibri"/>
          <w:color w:val="000000" w:themeColor="text1"/>
        </w:rPr>
        <w:t xml:space="preserve"> (</w:t>
      </w:r>
      <w:r w:rsidRPr="008F69F8">
        <w:rPr>
          <w:color w:val="000000" w:themeColor="text1"/>
        </w:rPr>
        <w:t xml:space="preserve">Benneworth &amp; Jones, 2012). The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70s ushered in a new era in social work with an influx of social work education programs. During this period the nation experienced social unrest, which was attributed to a lack of proper reforms in social work (Moore et al., 2015). The situation seemed to stagnate reforms and steps that had earlier been made. During this decade the Bachelor of Social Work (BSW) was introduced. The content was synchronized with the needs </w:t>
      </w:r>
      <w:r w:rsidRPr="008F69F8">
        <w:rPr>
          <w:color w:val="000000"/>
        </w:rPr>
        <w:t xml:space="preserve">of society. This decade also experienced an increase in privatization of practices in the field of social work. </w:t>
      </w:r>
    </w:p>
    <w:p w:rsidR="00C306BA" w:rsidRPr="008F69F8" w:rsidRDefault="00C306BA" w:rsidP="00C306BA">
      <w:pPr>
        <w:pBdr>
          <w:top w:val="nil"/>
          <w:left w:val="nil"/>
          <w:bottom w:val="nil"/>
          <w:right w:val="nil"/>
          <w:between w:val="nil"/>
        </w:pBdr>
        <w:spacing w:after="160" w:line="480" w:lineRule="auto"/>
        <w:ind w:firstLine="720"/>
        <w:rPr>
          <w:b/>
          <w:color w:val="000000"/>
        </w:rPr>
      </w:pPr>
      <w:r w:rsidRPr="008F69F8">
        <w:rPr>
          <w:color w:val="000000"/>
        </w:rPr>
        <w:t>During the last decade of the 20</w:t>
      </w:r>
      <w:r w:rsidRPr="008F69F8">
        <w:rPr>
          <w:color w:val="000000"/>
          <w:vertAlign w:val="superscript"/>
        </w:rPr>
        <w:t>th</w:t>
      </w:r>
      <w:r w:rsidRPr="008F69F8">
        <w:rPr>
          <w:color w:val="000000"/>
        </w:rPr>
        <w:t xml:space="preserve"> century, the government has engaged non-governmental organizations and private entities in contributing to social welfare programs</w:t>
      </w:r>
      <w:r>
        <w:rPr>
          <w:color w:val="000000"/>
        </w:rPr>
        <w:t xml:space="preserve"> </w:t>
      </w:r>
      <w:r w:rsidRPr="003613CA">
        <w:rPr>
          <w:color w:val="000000"/>
        </w:rPr>
        <w:t>(Turner, 2017)</w:t>
      </w:r>
      <w:r w:rsidRPr="008F69F8">
        <w:rPr>
          <w:color w:val="000000"/>
        </w:rPr>
        <w:t xml:space="preserve">. </w:t>
      </w:r>
      <w:r>
        <w:rPr>
          <w:color w:val="000000"/>
        </w:rPr>
        <w:t>Moreover, t</w:t>
      </w:r>
      <w:r w:rsidRPr="008F69F8">
        <w:rPr>
          <w:color w:val="000000"/>
        </w:rPr>
        <w:t xml:space="preserve">he controversial 1996 welfare reform bill, which provided for temporary aid to needy families, was approved. More funds were available to schools providing social work education programs, especially those concentrating on areas of mental health, child welfare, domestic violence and aging. The bill also set conditions for assistance to families in </w:t>
      </w:r>
      <w:r w:rsidRPr="008F69F8">
        <w:rPr>
          <w:color w:val="000000"/>
        </w:rPr>
        <w:lastRenderedPageBreak/>
        <w:t>need. The millennium marked an increased in the number of students taking social work education programs</w:t>
      </w:r>
      <w:r w:rsidRPr="008F69F8">
        <w:rPr>
          <w:rFonts w:eastAsia="Calibri"/>
          <w:color w:val="000000"/>
        </w:rPr>
        <w:t>.</w:t>
      </w:r>
      <w:r w:rsidRPr="008F69F8">
        <w:rPr>
          <w:color w:val="000000"/>
        </w:rPr>
        <w:t xml:space="preserve"> This field has been diversified to cover large areas based on specific needs. Bills have been passed to adjust to the societal needs in this field. With the invention of technology, social work education programs have not been left behind. Several programs are offered through online platforms as well as practice</w:t>
      </w:r>
      <w:r>
        <w:rPr>
          <w:color w:val="000000"/>
        </w:rPr>
        <w:t>.</w:t>
      </w:r>
    </w:p>
    <w:p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There have been many changes in social work education since teaching is no longer traditional. The Internet of Things (IoT) has dramatically modified the learning process by introducing e-learning programs. The online social work education journey started at Florida State University in 2002, where they offered the first MSW program through distance learning education</w:t>
      </w:r>
      <w:r>
        <w:rPr>
          <w:color w:val="000000"/>
        </w:rPr>
        <w:t xml:space="preserve"> </w:t>
      </w:r>
      <w:r w:rsidRPr="003613CA">
        <w:rPr>
          <w:color w:val="000000"/>
        </w:rPr>
        <w:t>(Turner, 2017)</w:t>
      </w:r>
      <w:r>
        <w:rPr>
          <w:color w:val="000000"/>
        </w:rPr>
        <w:t>.</w:t>
      </w: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Theoretical Framework</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Various theories are applicable with regard to social work education. They include the adult learning theory of andragogy, Kolb's experiential learning theory, and the social exchange theory.</w:t>
      </w:r>
    </w:p>
    <w:p w:rsidR="00C306BA" w:rsidRPr="008F69F8" w:rsidRDefault="00C306BA" w:rsidP="00C306BA">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The Adult Learning Theory of Andragogy</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The adult learning theory of andragogy was developed by Malcolm Shepherd Knowles. The theory applies five assumptions used in adult learning (</w:t>
      </w:r>
      <w:r w:rsidRPr="008F69F8">
        <w:rPr>
          <w:color w:val="000000"/>
          <w:highlight w:val="white"/>
        </w:rPr>
        <w:t>Pyles &amp; Adam, 2015).</w:t>
      </w:r>
      <w:r w:rsidRPr="008F69F8">
        <w:rPr>
          <w:color w:val="000000"/>
        </w:rPr>
        <w:t xml:space="preserve"> One of the assumptions of this theory is self-concept. Self-concept relates to the idea that as a human being grows, he develops from being a self-independent personality to one who is self-directed (</w:t>
      </w:r>
      <w:r w:rsidRPr="008F69F8">
        <w:rPr>
          <w:color w:val="222222"/>
          <w:shd w:val="clear" w:color="auto" w:fill="FFFFFF"/>
        </w:rPr>
        <w:t>Power, 2013</w:t>
      </w:r>
      <w:r w:rsidRPr="008F69F8">
        <w:rPr>
          <w:color w:val="000000"/>
        </w:rPr>
        <w:t xml:space="preserve">). Therefore, through social work education, a person becomes more oriented to identify the specific problems within the community. </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The assumption of readiness to learn is also crucial in enabling social work students to be more willing to gather insights about the profession that they are undertaking (</w:t>
      </w:r>
      <w:r w:rsidRPr="008F69F8">
        <w:rPr>
          <w:color w:val="000000"/>
          <w:highlight w:val="white"/>
        </w:rPr>
        <w:t>Merriam, 2018)</w:t>
      </w:r>
      <w:r w:rsidRPr="008F69F8">
        <w:rPr>
          <w:color w:val="000000"/>
        </w:rPr>
        <w:t xml:space="preserve">. </w:t>
      </w:r>
      <w:r w:rsidRPr="008F69F8">
        <w:rPr>
          <w:color w:val="000000"/>
        </w:rPr>
        <w:lastRenderedPageBreak/>
        <w:t xml:space="preserve">Online learning enables students of social work to have quality learning experience. It exposes them to a wide variety of resources that they can use to improve upon their skills. The online experience, therefore, plays a major role in improving the readiness of students to becoming ready to learn. </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The third assumption relates to the orientation to learning. It details the attitude that people have about social work. Through the application of online learning in social work, it helps the students become more oriented to solving the various problems that they identify in their communities. Students also determine that social work is an important concept as it improves the community (</w:t>
      </w:r>
      <w:r w:rsidRPr="008F69F8">
        <w:rPr>
          <w:color w:val="000000"/>
          <w:highlight w:val="white"/>
        </w:rPr>
        <w:t>Ozuah, 2016).</w:t>
      </w:r>
      <w:r w:rsidRPr="008F69F8">
        <w:rPr>
          <w:color w:val="000000"/>
        </w:rPr>
        <w:t xml:space="preserve"> Students also become more inquisitive with the specific measures that they may take to ensure that they are of assistance to their communities once they become full-fledged professionals. As a result, they act as a significant encouragement to others who are in the process of joining the profession.  </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The fourth assumption of Andrology is the motivation to learn. Online learning is useful in social work education as it builds upon the motivation of students to learn different concepts (</w:t>
      </w:r>
      <w:r w:rsidRPr="008F69F8">
        <w:rPr>
          <w:color w:val="000000"/>
          <w:highlight w:val="white"/>
        </w:rPr>
        <w:t xml:space="preserve">Robbins et al., 2005). </w:t>
      </w:r>
      <w:r w:rsidRPr="008F69F8">
        <w:rPr>
          <w:color w:val="000000"/>
        </w:rPr>
        <w:t>Learning through a new experience, as opposed to the traditional classroom method, the students identify with the idea that they can more objectively compare different principles. Online learning in social work permits students to more readily gain access to a wide range of ideas that they may be put to use on the job (Popple, 2011).</w:t>
      </w:r>
    </w:p>
    <w:p w:rsidR="00C306BA" w:rsidRPr="008F69F8" w:rsidRDefault="00C306BA" w:rsidP="00C306BA">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Exchange Theory</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 social exchange theory is also imperative with online learning in social work. The theory is built on the idea that social behavior is normally an effect of an exchange process. Through the exchange, people typically seek to maximize the positive outcomes while at the same time cutting out the adverse effects. In online learning, students are likely to rely more on </w:t>
      </w:r>
      <w:r w:rsidRPr="008F69F8">
        <w:rPr>
          <w:color w:val="000000"/>
        </w:rPr>
        <w:lastRenderedPageBreak/>
        <w:t>online media for acquiring information about the subject matter that they are being taught (</w:t>
      </w:r>
      <w:r w:rsidRPr="008F69F8">
        <w:rPr>
          <w:color w:val="000000"/>
          <w:highlight w:val="white"/>
        </w:rPr>
        <w:t>Cropanzan et al., 2017)</w:t>
      </w:r>
      <w:r w:rsidRPr="008F69F8">
        <w:rPr>
          <w:color w:val="000000"/>
        </w:rPr>
        <w:t>. As a result, learners analyze the content provided within the online modules more. Online social work education also enables learners to avoid the waste of time that normally characterizes traditional classes.</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 The social exchange theory looks at research studies and the theoretical approach to social conformity. Online social work students can combine different learned skills in a new rejuvenated and well-informed way. Ultimately, this will bring better outcomes in the programs (</w:t>
      </w:r>
      <w:r w:rsidRPr="008F69F8">
        <w:rPr>
          <w:color w:val="000000"/>
          <w:highlight w:val="white"/>
        </w:rPr>
        <w:t>Cropanzan et al., 2017)</w:t>
      </w:r>
      <w:r w:rsidRPr="008F69F8">
        <w:rPr>
          <w:color w:val="000000"/>
        </w:rPr>
        <w:t>. The social exchange theory is important in showing the interaction between various social groups. It also details the real value that lies in support. The theory is essential in terms of the application of social work concepts.</w:t>
      </w:r>
    </w:p>
    <w:p w:rsidR="00C306BA" w:rsidRPr="008F69F8" w:rsidRDefault="00C306BA" w:rsidP="00C306BA">
      <w:pPr>
        <w:pBdr>
          <w:top w:val="nil"/>
          <w:left w:val="nil"/>
          <w:bottom w:val="nil"/>
          <w:right w:val="nil"/>
          <w:between w:val="nil"/>
        </w:pBdr>
        <w:spacing w:line="480" w:lineRule="auto"/>
        <w:rPr>
          <w:b/>
          <w:color w:val="000000"/>
        </w:rPr>
      </w:pPr>
      <w:r w:rsidRPr="008F69F8">
        <w:rPr>
          <w:b/>
          <w:color w:val="000000"/>
        </w:rPr>
        <w:t>Kolb’s Experiential Learning Theory</w:t>
      </w:r>
    </w:p>
    <w:p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Kolb's experiential learning theory introduces social work education as an applied science in society. That is, how social work is executed, analyzed, and how it is accepted by individuals within the community. Apart from employing virtual learning methods to educate social workers, this theory proposes the use of hands-on skills that are useful in the field. The employment of virtual learning, in turn, improves the sense of belonging among the MSW social students since they are assured of the high quality of the education they receive and the polished skills they possess. Thus, to acquire adequate skills and knowledge requires undergoing four phases, simulation, reflection, abstraction, and experimentation. To optimize the learning process these four aspects (simulation, reflection, abstraction, and experimentation) must be achieved, according to Kolb’s experiential learning theory (Wilke &amp; Vinton, 2017). Through the implementation of the theory, social workers will be able to improve and grasp more knowledge in their field constructively</w:t>
      </w:r>
    </w:p>
    <w:p w:rsidR="00C306BA" w:rsidRPr="008F69F8" w:rsidRDefault="00C306BA" w:rsidP="00C306BA">
      <w:pPr>
        <w:pBdr>
          <w:top w:val="nil"/>
          <w:left w:val="nil"/>
          <w:bottom w:val="nil"/>
          <w:right w:val="nil"/>
          <w:between w:val="nil"/>
        </w:pBdr>
        <w:spacing w:line="480" w:lineRule="auto"/>
        <w:ind w:firstLine="720"/>
        <w:rPr>
          <w:b/>
          <w:color w:val="000000"/>
        </w:rPr>
      </w:pPr>
    </w:p>
    <w:p w:rsidR="00C306BA" w:rsidRPr="008F69F8" w:rsidRDefault="00C306BA" w:rsidP="00C306BA">
      <w:pPr>
        <w:pBdr>
          <w:top w:val="nil"/>
          <w:left w:val="nil"/>
          <w:bottom w:val="nil"/>
          <w:right w:val="nil"/>
          <w:between w:val="nil"/>
        </w:pBdr>
        <w:spacing w:line="480" w:lineRule="auto"/>
        <w:rPr>
          <w:color w:val="000000"/>
        </w:rPr>
      </w:pPr>
      <w:r w:rsidRPr="008F69F8">
        <w:rPr>
          <w:color w:val="000000"/>
        </w:rPr>
        <w:t>The theoretical framework is shown below</w:t>
      </w: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59264" behindDoc="0" locked="0" layoutInCell="1" allowOverlap="1" wp14:anchorId="4D65E91D" wp14:editId="59ACE024">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wps:cNvPr id="3" name="Rectangle 3"/>
                          <wps:cNvSpPr/>
                          <wps:spPr>
                            <a:xfrm>
                              <a:off x="0" y="-1"/>
                              <a:ext cx="3600450" cy="2076450"/>
                            </a:xfrm>
                            <a:prstGeom prst="rect">
                              <a:avLst/>
                            </a:prstGeom>
                            <a:noFill/>
                            <a:ln>
                              <a:noFill/>
                            </a:ln>
                          </wps:spPr>
                          <wps:txbx>
                            <w:txbxContent>
                              <w:p w:rsidR="00C306BA" w:rsidRDefault="00C306BA" w:rsidP="00C306BA"/>
                            </w:txbxContent>
                          </wps:txbx>
                          <wps:bodyPr spcFirstLastPara="1" wrap="square" lIns="91425" tIns="91425" rIns="91425" bIns="91425" anchor="ctr" anchorCtr="0"/>
                        </wps:wsp>
                        <wps:wsp>
                          <wps:cNvPr id="4" name="Oval 4"/>
                          <wps:cNvSpPr/>
                          <wps:spPr>
                            <a:xfrm>
                              <a:off x="0" y="-1"/>
                              <a:ext cx="3600450" cy="2076451"/>
                            </a:xfrm>
                            <a:prstGeom prst="ellipse">
                              <a:avLst/>
                            </a:prstGeom>
                            <a:solidFill>
                              <a:srgbClr val="FFFFFF"/>
                            </a:solidFill>
                            <a:ln w="12700">
                              <a:solidFill>
                                <a:srgbClr val="70AD47"/>
                              </a:solidFill>
                              <a:miter lim="800000"/>
                              <a:headEnd w="sm" len="sm"/>
                              <a:tailEnd w="sm" len="sm"/>
                            </a:ln>
                          </wps:spPr>
                          <wps:txbx>
                            <w:txbxContent>
                              <w:p w:rsidR="00C306BA" w:rsidRDefault="00C306BA" w:rsidP="00C306BA"/>
                            </w:txbxContent>
                          </wps:txbx>
                          <wps:bodyPr spcFirstLastPara="1" wrap="square" lIns="91425" tIns="91425" rIns="91425" bIns="91425" anchor="ctr" anchorCtr="0"/>
                        </wps:wsp>
                        <wps:wsp>
                          <wps:cNvPr id="5" name="Rectangle 5"/>
                          <wps:cNvSpPr/>
                          <wps:spPr>
                            <a:xfrm>
                              <a:off x="527274" y="304088"/>
                              <a:ext cx="2545902" cy="1468274"/>
                            </a:xfrm>
                            <a:prstGeom prst="rect">
                              <a:avLst/>
                            </a:prstGeom>
                            <a:noFill/>
                            <a:ln>
                              <a:noFill/>
                            </a:ln>
                          </wps:spPr>
                          <wps:txbx>
                            <w:txbxContent>
                              <w:p w:rsidR="00C306BA" w:rsidRDefault="00C306BA" w:rsidP="00C306BA">
                                <w:pPr>
                                  <w:spacing w:line="255" w:lineRule="auto"/>
                                  <w:jc w:val="center"/>
                                </w:pPr>
                                <w:r>
                                  <w:rPr>
                                    <w:rFonts w:ascii="Calibri" w:eastAsia="Calibri" w:hAnsi="Calibri" w:cs="Calibri"/>
                                    <w:color w:val="000000"/>
                                    <w:sz w:val="28"/>
                                  </w:rPr>
                                  <w:t>Relationship with the Instructors</w:t>
                                </w:r>
                              </w:p>
                              <w:p w:rsidR="00C306BA" w:rsidRDefault="00C306BA" w:rsidP="00C306BA">
                                <w:pPr>
                                  <w:spacing w:line="255" w:lineRule="auto"/>
                                  <w:ind w:left="720" w:firstLine="360"/>
                                  <w:jc w:val="center"/>
                                </w:pPr>
                                <w:r>
                                  <w:rPr>
                                    <w:rFonts w:ascii="Calibri" w:eastAsia="Calibri" w:hAnsi="Calibri" w:cs="Calibri"/>
                                    <w:color w:val="000000"/>
                                    <w:sz w:val="28"/>
                                  </w:rPr>
                                  <w:t>What is the perceived support?</w:t>
                                </w:r>
                              </w:p>
                              <w:p w:rsidR="00C306BA" w:rsidRDefault="00C306BA" w:rsidP="00C306BA">
                                <w:pPr>
                                  <w:spacing w:line="255" w:lineRule="auto"/>
                                  <w:ind w:left="720" w:firstLine="360"/>
                                  <w:jc w:val="center"/>
                                </w:pPr>
                                <w:r>
                                  <w:rPr>
                                    <w:rFonts w:ascii="Calibri" w:eastAsia="Calibri" w:hAnsi="Calibri" w:cs="Calibri"/>
                                    <w:color w:val="000000"/>
                                    <w:sz w:val="28"/>
                                  </w:rPr>
                                  <w:t>Does the student have conflict with instructors?</w:t>
                                </w:r>
                              </w:p>
                              <w:p w:rsidR="00C306BA" w:rsidRDefault="00C306BA" w:rsidP="00C306BA">
                                <w:pPr>
                                  <w:spacing w:line="255" w:lineRule="auto"/>
                                  <w:ind w:left="720" w:firstLine="360"/>
                                  <w:jc w:val="cente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w:pict>
              <v:group id="Group 1" o:spid="_x0000_s1026" style="position:absolute;left:0;text-align:left;margin-left:1in;margin-top:0;width:283.5pt;height:163.5pt;z-index:251659264;mso-wrap-distance-left:0;mso-wrap-distance-right:0" coordorigin="35457,27417" coordsize="36004,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">
                <v:group id="Group 2" o:spid="_x0000_s1027" style="position:absolute;left:35457;top:27417;width:36005;height:20765" coordorigin="" coordsize="36004,20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028" style="position:absolute;width:36004;height:20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C306BA" w:rsidRDefault="00C306BA" w:rsidP="00C306BA"/>
                      </w:txbxContent>
                    </v:textbox>
                  </v:rect>
                  <v:oval id="Oval 4" o:spid="_x0000_s1029" style="position:absolute;width:36004;height:20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yBMEA&#10;AADaAAAADwAAAGRycy9kb3ducmV2LnhtbESPX2vCMBTF3wW/Q7jC3jSdjiGdUYog+KAPc/p+be7a&#10;suamJLHN/PTLQPDxcP78OKtNNK3oyfnGsoLXWQaCuLS64UrB+Ws3XYLwAVlja5kU/JKHzXo8WmGu&#10;7cCf1J9CJdII+xwV1CF0uZS+rMmgn9mOOHnf1hkMSbpKaodDGjetnGfZuzTYcCLU2NG2pvLndDOJ&#10;u/THPrrDpcTiernzsNBFXCj1MonFB4hAMTzDj/ZeK3iD/yvpBs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ncgTBAAAA2gAAAA8AAAAAAAAAAAAAAAAAmAIAAGRycy9kb3du&#10;cmV2LnhtbFBLBQYAAAAABAAEAPUAAACGAwAAAAA=&#10;" strokecolor="#70ad47" strokeweight="1pt">
                    <v:stroke startarrowwidth="narrow" startarrowlength="short" endarrowwidth="narrow" endarrowlength="short" joinstyle="miter"/>
                    <v:textbox inset="2.53958mm,2.53958mm,2.53958mm,2.53958mm">
                      <w:txbxContent>
                        <w:p w:rsidR="00C306BA" w:rsidRDefault="00C306BA" w:rsidP="00C306BA"/>
                      </w:txbxContent>
                    </v:textbox>
                  </v:oval>
                  <v:rect id="Rectangle 5" o:spid="_x0000_s1030" style="position:absolute;left:5272;top:3040;width:25459;height:146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FN8MA&#10;AADaAAAADwAAAGRycy9kb3ducmV2LnhtbESPT4vCMBTE74LfITzBi6ypgkWqUUQRPIiuf9jzo3m2&#10;xealNlHrfvqNsOBxmJnfMNN5Y0rxoNoVlhUM+hEI4tTqgjMF59P6awzCeWSNpWVS8CIH81m7NcVE&#10;2ycf6HH0mQgQdgkqyL2vEildmpNB17cVcfAutjbog6wzqWt8Brgp5TCKYmmw4LCQY0XLnNLr8W4U&#10;+PF+dbsV8e/2lW4Hu9X3bvMT95TqdprFBISnxn/C/+2NVjCC95Vw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FN8MAAADaAAAADwAAAAAAAAAAAAAAAACYAgAAZHJzL2Rv&#10;d25yZXYueG1sUEsFBgAAAAAEAAQA9QAAAIgDAAAAAA==&#10;" filled="f" stroked="f">
                    <v:textbox inset="1.2694mm,1.2694mm,1.2694mm,1.2694mm">
                      <w:txbxContent>
                        <w:p w:rsidR="00C306BA" w:rsidRDefault="00C306BA" w:rsidP="00C306BA">
                          <w:pPr>
                            <w:spacing w:line="255" w:lineRule="auto"/>
                            <w:jc w:val="center"/>
                          </w:pPr>
                          <w:r>
                            <w:rPr>
                              <w:rFonts w:ascii="Calibri" w:eastAsia="Calibri" w:hAnsi="Calibri" w:cs="Calibri"/>
                              <w:color w:val="000000"/>
                              <w:sz w:val="28"/>
                            </w:rPr>
                            <w:t>Relationship with the Instructors</w:t>
                          </w:r>
                        </w:p>
                        <w:p w:rsidR="00C306BA" w:rsidRDefault="00C306BA" w:rsidP="00C306BA">
                          <w:pPr>
                            <w:spacing w:line="255" w:lineRule="auto"/>
                            <w:ind w:left="720" w:firstLine="360"/>
                            <w:jc w:val="center"/>
                          </w:pPr>
                          <w:r>
                            <w:rPr>
                              <w:rFonts w:ascii="Calibri" w:eastAsia="Calibri" w:hAnsi="Calibri" w:cs="Calibri"/>
                              <w:color w:val="000000"/>
                              <w:sz w:val="28"/>
                            </w:rPr>
                            <w:t>What is the perceived support?</w:t>
                          </w:r>
                        </w:p>
                        <w:p w:rsidR="00C306BA" w:rsidRDefault="00C306BA" w:rsidP="00C306BA">
                          <w:pPr>
                            <w:spacing w:line="255" w:lineRule="auto"/>
                            <w:ind w:left="720" w:firstLine="360"/>
                            <w:jc w:val="center"/>
                          </w:pPr>
                          <w:r>
                            <w:rPr>
                              <w:rFonts w:ascii="Calibri" w:eastAsia="Calibri" w:hAnsi="Calibri" w:cs="Calibri"/>
                              <w:color w:val="000000"/>
                              <w:sz w:val="28"/>
                            </w:rPr>
                            <w:t>Does the student have conflict with instructors?</w:t>
                          </w:r>
                        </w:p>
                        <w:p w:rsidR="00C306BA" w:rsidRDefault="00C306BA" w:rsidP="00C306BA">
                          <w:pPr>
                            <w:spacing w:line="255" w:lineRule="auto"/>
                            <w:ind w:left="720" w:firstLine="360"/>
                            <w:jc w:val="center"/>
                          </w:pPr>
                          <w:r>
                            <w:rPr>
                              <w:rFonts w:ascii="Calibri" w:eastAsia="Calibri" w:hAnsi="Calibri" w:cs="Calibri"/>
                              <w:color w:val="000000"/>
                              <w:sz w:val="28"/>
                            </w:rPr>
                            <w:t>Is there a perception of fairness in the program?</w:t>
                          </w:r>
                        </w:p>
                      </w:txbxContent>
                    </v:textbox>
                  </v:rect>
                </v:group>
              </v:group>
            </w:pict>
          </mc:Fallback>
        </mc:AlternateContent>
      </w:r>
    </w:p>
    <w:p w:rsidR="00C306BA" w:rsidRPr="008F69F8" w:rsidRDefault="00C306BA" w:rsidP="00C306BA">
      <w:pPr>
        <w:pBdr>
          <w:top w:val="nil"/>
          <w:left w:val="nil"/>
          <w:bottom w:val="nil"/>
          <w:right w:val="nil"/>
          <w:between w:val="nil"/>
        </w:pBdr>
        <w:spacing w:after="160" w:line="480" w:lineRule="auto"/>
        <w:rPr>
          <w:color w:val="000000"/>
        </w:rPr>
      </w:pPr>
    </w:p>
    <w:p w:rsidR="00C306BA" w:rsidRPr="008F69F8" w:rsidRDefault="00C306BA" w:rsidP="00C306BA">
      <w:pPr>
        <w:pBdr>
          <w:top w:val="nil"/>
          <w:left w:val="nil"/>
          <w:bottom w:val="nil"/>
          <w:right w:val="nil"/>
          <w:between w:val="nil"/>
        </w:pBdr>
        <w:spacing w:after="160" w:line="480" w:lineRule="auto"/>
        <w:rPr>
          <w:color w:val="000000"/>
        </w:rPr>
      </w:pPr>
    </w:p>
    <w:p w:rsidR="00C306BA" w:rsidRPr="008F69F8" w:rsidRDefault="00C306BA" w:rsidP="00C306BA">
      <w:pPr>
        <w:pBdr>
          <w:top w:val="nil"/>
          <w:left w:val="nil"/>
          <w:bottom w:val="nil"/>
          <w:right w:val="nil"/>
          <w:between w:val="nil"/>
        </w:pBdr>
        <w:spacing w:after="160" w:line="480" w:lineRule="auto"/>
        <w:rPr>
          <w:color w:val="000000"/>
        </w:rPr>
      </w:pP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0288" behindDoc="0" locked="0" layoutInCell="1" allowOverlap="1" wp14:anchorId="581FA06A" wp14:editId="5059EC75">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wps:cNvCnPr/>
                      <wps:spPr>
                        <a:xfrm>
                          <a:off x="4874513" y="3351375"/>
                          <a:ext cx="942975" cy="857250"/>
                        </a:xfrm>
                        <a:prstGeom prst="straightConnector1">
                          <a:avLst/>
                        </a:prstGeom>
                        <a:noFill/>
                        <a:ln w="9525">
                          <a:solidFill>
                            <a:srgbClr val="5B9BD5"/>
                          </a:solidFill>
                          <a:round/>
                          <a:headEnd/>
                          <a:tailEnd type="triangle"/>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alt="Description: Straight Arrow Connector 8" style="position:absolute;margin-left:352pt;margin-top:7pt;width:75pt;height:68.25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" strokecolor="#5b9bd5">
                <v:stroke endarrow="block"/>
              </v:shape>
            </w:pict>
          </mc:Fallback>
        </mc:AlternateContent>
      </w: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61312" behindDoc="0" locked="0" layoutInCell="1" allowOverlap="1" wp14:anchorId="24D11833" wp14:editId="049A3240">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wps:cNvPr id="8" name="Rectangle 8"/>
                          <wps:cNvSpPr/>
                          <wps:spPr>
                            <a:xfrm>
                              <a:off x="0" y="-1"/>
                              <a:ext cx="1628775" cy="1447800"/>
                            </a:xfrm>
                            <a:prstGeom prst="rect">
                              <a:avLst/>
                            </a:prstGeom>
                            <a:noFill/>
                            <a:ln>
                              <a:noFill/>
                            </a:ln>
                          </wps:spPr>
                          <wps:txbx>
                            <w:txbxContent>
                              <w:p w:rsidR="00C306BA" w:rsidRDefault="00C306BA" w:rsidP="00C306BA"/>
                            </w:txbxContent>
                          </wps:txbx>
                          <wps:bodyPr spcFirstLastPara="1" wrap="square" lIns="91425" tIns="91425" rIns="91425" bIns="91425" anchor="ctr" anchorCtr="0"/>
                        </wps:wsp>
                        <wps:wsp>
                          <wps:cNvPr id="10" name="Oval 10"/>
                          <wps:cNvSpPr/>
                          <wps:spPr>
                            <a:xfrm>
                              <a:off x="0" y="-1"/>
                              <a:ext cx="1628776" cy="1447801"/>
                            </a:xfrm>
                            <a:prstGeom prst="ellipse">
                              <a:avLst/>
                            </a:prstGeom>
                            <a:solidFill>
                              <a:srgbClr val="FFFFFF"/>
                            </a:solidFill>
                            <a:ln w="12700">
                              <a:solidFill>
                                <a:srgbClr val="70AD47"/>
                              </a:solidFill>
                              <a:miter lim="800000"/>
                              <a:headEnd w="sm" len="sm"/>
                              <a:tailEnd w="sm" len="sm"/>
                            </a:ln>
                          </wps:spPr>
                          <wps:txbx>
                            <w:txbxContent>
                              <w:p w:rsidR="00C306BA" w:rsidRDefault="00C306BA" w:rsidP="00C306BA"/>
                            </w:txbxContent>
                          </wps:txbx>
                          <wps:bodyPr spcFirstLastPara="1" wrap="square" lIns="91425" tIns="91425" rIns="91425" bIns="91425" anchor="ctr" anchorCtr="0"/>
                        </wps:wsp>
                        <wps:wsp>
                          <wps:cNvPr id="11" name="Rectangle 11"/>
                          <wps:cNvSpPr/>
                          <wps:spPr>
                            <a:xfrm>
                              <a:off x="238528" y="212024"/>
                              <a:ext cx="1151719" cy="1023752"/>
                            </a:xfrm>
                            <a:prstGeom prst="rect">
                              <a:avLst/>
                            </a:prstGeom>
                            <a:noFill/>
                            <a:ln>
                              <a:noFill/>
                            </a:ln>
                          </wps:spPr>
                          <wps:txbx>
                            <w:txbxContent>
                              <w:p w:rsidR="00C306BA" w:rsidRDefault="00C306BA" w:rsidP="00C306BA">
                                <w:pPr>
                                  <w:spacing w:line="255" w:lineRule="auto"/>
                                  <w:jc w:val="cente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w:pict>
              <v:group id="Group 9" o:spid="_x0000_s1031" style="position:absolute;left:0;text-align:left;margin-left:397pt;margin-top:46pt;width:128.3pt;height:114pt;z-index:251661312;mso-wrap-distance-left:0;mso-wrap-distance-right:0" coordorigin="45312,30561" coordsize="1629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">
                <v:group id="Group 7" o:spid="_x0000_s1032" style="position:absolute;left:45312;top:30561;width:16295;height:14478" coordorigin="" coordsize="16287,14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8" o:spid="_x0000_s1033" style="position:absolute;width:16287;height:1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jn74A&#10;AADaAAAADwAAAGRycy9kb3ducmV2LnhtbERPzYrCMBC+L/gOYQRva2oR2a1GUVHQPe1WH2BsxqbY&#10;TGoTtb795iB4/Pj+Z4vO1uJOra8cKxgNExDEhdMVlwqOh+3nFwgfkDXWjknBkzws5r2PGWbaPfiP&#10;7nkoRQxhn6ECE0KTSekLQxb90DXEkTu71mKIsC2lbvERw20t0ySZSIsVxwaDDa0NFZf8ZhX8jh2l&#10;m9Sv8tJ+m+50+NlfcaLUoN8tpyACdeEtfrl3WkHcGq/EGyD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ro5++AAAA2gAAAA8AAAAAAAAAAAAAAAAAmAIAAGRycy9kb3ducmV2&#10;LnhtbFBLBQYAAAAABAAEAPUAAACDAwAAAAA=&#10;" filled="f" stroked="f">
                    <v:textbox inset="2.53958mm,2.53958mm,2.53958mm,2.53958mm">
                      <w:txbxContent>
                        <w:p w:rsidR="00C306BA" w:rsidRDefault="00C306BA" w:rsidP="00C306BA"/>
                      </w:txbxContent>
                    </v:textbox>
                  </v:rect>
                  <v:oval id="Oval 10" o:spid="_x0000_s1034" style="position:absolute;width:16287;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Kmk8IA&#10;AADbAAAADwAAAGRycy9kb3ducmV2LnhtbESPTWvDMAyG74P9B6NBb6vTFUZJ65ZQGOywHtqtdzXW&#10;krBYDraXeP311aGwm4Tej0ebXXa9GinEzrOBxbwARVx723Fj4Ovz7XkFKiZki71nMvBHEXbbx4cN&#10;ltZPfKTxlBolIRxLNNCmNJRax7olh3HuB2K5ffvgMMkaGm0DThLuev1SFK/aYcfS0OJA+5bqn9Ov&#10;k95VPIw5fJxrrC7nK09LW+WlMbOnXK1BJcrpX3x3v1vBF3r5RQbQ2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qaT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C306BA" w:rsidRDefault="00C306BA" w:rsidP="00C306BA"/>
                      </w:txbxContent>
                    </v:textbox>
                  </v:oval>
                  <v:rect id="Rectangle 11" o:spid="_x0000_s1035" style="position:absolute;left:2385;top:2120;width:11517;height:102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Mr8IA&#10;AADbAAAADwAAAGRycy9kb3ducmV2LnhtbERPS4vCMBC+C/sfwizsRTSthyK1UWRlwYP42sXz0Ixt&#10;sZnUJmrdX28Ewdt8fM/JZp2pxZVaV1lWEA8jEMS51RUXCv5+fwZjEM4ja6wtk4I7OZhNP3oZptre&#10;eEfXvS9ECGGXooLS+yaV0uUlGXRD2xAH7mhbgz7AtpC6xVsIN7UcRVEiDVYcGkps6Luk/LS/GAV+&#10;vFmcz1Xyv7rnq3i92K6Xh6Sv1NdnN5+A8NT5t/jlXuowP4bnL+EA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syvwgAAANsAAAAPAAAAAAAAAAAAAAAAAJgCAABkcnMvZG93&#10;bnJldi54bWxQSwUGAAAAAAQABAD1AAAAhwMAAAAA&#10;" filled="f" stroked="f">
                    <v:textbox inset="1.2694mm,1.2694mm,1.2694mm,1.2694mm">
                      <w:txbxContent>
                        <w:p w:rsidR="00C306BA" w:rsidRDefault="00C306BA" w:rsidP="00C306BA">
                          <w:pPr>
                            <w:spacing w:line="255" w:lineRule="auto"/>
                            <w:jc w:val="center"/>
                          </w:pPr>
                          <w:r>
                            <w:rPr>
                              <w:rFonts w:ascii="Calibri" w:eastAsia="Calibri" w:hAnsi="Calibri" w:cs="Calibri"/>
                              <w:color w:val="000000"/>
                              <w:sz w:val="28"/>
                            </w:rPr>
                            <w:t>Sense of belonging</w:t>
                          </w:r>
                        </w:p>
                      </w:txbxContent>
                    </v:textbox>
                  </v:rect>
                </v:group>
              </v:group>
            </w:pict>
          </mc:Fallback>
        </mc:AlternateContent>
      </w:r>
      <w:r w:rsidRPr="008F69F8">
        <w:rPr>
          <w:noProof/>
        </w:rPr>
        <mc:AlternateContent>
          <mc:Choice Requires="wps">
            <w:drawing>
              <wp:anchor distT="0" distB="0" distL="0" distR="0" simplePos="0" relativeHeight="251662336" behindDoc="0" locked="0" layoutInCell="1" allowOverlap="1" wp14:anchorId="2A866CEF" wp14:editId="020DE2B2">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wps:cNvCnPr/>
                      <wps:spPr>
                        <a:xfrm rot="10800000" flipH="1">
                          <a:off x="5217413" y="3494250"/>
                          <a:ext cx="257175" cy="57150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2" o:spid="_x0000_s1026" type="#_x0000_t32" alt="Description: Straight Arrow Connector 6" style="position:absolute;margin-left:108pt;margin-top:29pt;width:21pt;height:45.75pt;rotation:180;flip:x;z-index:2516623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" strokecolor="#5b9bd5">
                <v:stroke endarrow="block"/>
              </v:shape>
            </w:pict>
          </mc:Fallback>
        </mc:AlternateContent>
      </w: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63360" behindDoc="0" locked="0" layoutInCell="1" allowOverlap="1" wp14:anchorId="69BE8048" wp14:editId="4C4C3E26">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wps:cNvPr id="15" name="Rectangle 15"/>
                          <wps:cNvSpPr/>
                          <wps:spPr>
                            <a:xfrm>
                              <a:off x="0" y="0"/>
                              <a:ext cx="2295525" cy="1800225"/>
                            </a:xfrm>
                            <a:prstGeom prst="rect">
                              <a:avLst/>
                            </a:prstGeom>
                            <a:noFill/>
                            <a:ln>
                              <a:noFill/>
                            </a:ln>
                          </wps:spPr>
                          <wps:txbx>
                            <w:txbxContent>
                              <w:p w:rsidR="00C306BA" w:rsidRDefault="00C306BA" w:rsidP="00C306BA"/>
                            </w:txbxContent>
                          </wps:txbx>
                          <wps:bodyPr spcFirstLastPara="1" wrap="square" lIns="91425" tIns="91425" rIns="91425" bIns="91425" anchor="ctr" anchorCtr="0"/>
                        </wps:wsp>
                        <wps:wsp>
                          <wps:cNvPr id="16" name="Oval 16"/>
                          <wps:cNvSpPr/>
                          <wps:spPr>
                            <a:xfrm>
                              <a:off x="0" y="0"/>
                              <a:ext cx="2295526" cy="1800226"/>
                            </a:xfrm>
                            <a:prstGeom prst="ellipse">
                              <a:avLst/>
                            </a:prstGeom>
                            <a:solidFill>
                              <a:srgbClr val="FFFFFF"/>
                            </a:solidFill>
                            <a:ln w="12700">
                              <a:solidFill>
                                <a:srgbClr val="70AD47"/>
                              </a:solidFill>
                              <a:miter lim="800000"/>
                              <a:headEnd w="sm" len="sm"/>
                              <a:tailEnd w="sm" len="sm"/>
                            </a:ln>
                          </wps:spPr>
                          <wps:txbx>
                            <w:txbxContent>
                              <w:p w:rsidR="00C306BA" w:rsidRDefault="00C306BA" w:rsidP="00C306BA"/>
                            </w:txbxContent>
                          </wps:txbx>
                          <wps:bodyPr spcFirstLastPara="1" wrap="square" lIns="91425" tIns="91425" rIns="91425" bIns="91425" anchor="ctr" anchorCtr="0"/>
                        </wps:wsp>
                        <wps:wsp>
                          <wps:cNvPr id="17" name="Rectangle 17"/>
                          <wps:cNvSpPr/>
                          <wps:spPr>
                            <a:xfrm>
                              <a:off x="336171" y="263637"/>
                              <a:ext cx="1623183" cy="1272951"/>
                            </a:xfrm>
                            <a:prstGeom prst="rect">
                              <a:avLst/>
                            </a:prstGeom>
                            <a:noFill/>
                            <a:ln>
                              <a:noFill/>
                            </a:ln>
                          </wps:spPr>
                          <wps:txbx>
                            <w:txbxContent>
                              <w:p w:rsidR="00C306BA" w:rsidRDefault="00C306BA" w:rsidP="00C306BA">
                                <w:pPr>
                                  <w:spacing w:line="255" w:lineRule="auto"/>
                                  <w:jc w:val="center"/>
                                </w:pPr>
                                <w:r>
                                  <w:rPr>
                                    <w:rFonts w:ascii="Calibri" w:eastAsia="Calibri" w:hAnsi="Calibri" w:cs="Calibri"/>
                                    <w:color w:val="000000"/>
                                    <w:sz w:val="28"/>
                                  </w:rPr>
                                  <w:t>Student’s behavior</w:t>
                                </w:r>
                              </w:p>
                              <w:p w:rsidR="00C306BA" w:rsidRDefault="00C306BA" w:rsidP="00C306BA">
                                <w:pPr>
                                  <w:spacing w:line="255" w:lineRule="auto"/>
                                  <w:ind w:left="720" w:firstLine="360"/>
                                  <w:jc w:val="center"/>
                                </w:pPr>
                                <w:r>
                                  <w:rPr>
                                    <w:rFonts w:ascii="Calibri" w:eastAsia="Calibri" w:hAnsi="Calibri" w:cs="Calibri"/>
                                    <w:color w:val="000000"/>
                                    <w:sz w:val="28"/>
                                  </w:rPr>
                                  <w:t>The academic achievement</w:t>
                                </w:r>
                              </w:p>
                              <w:p w:rsidR="00C306BA" w:rsidRDefault="00C306BA" w:rsidP="00C306BA">
                                <w:pPr>
                                  <w:spacing w:line="255" w:lineRule="auto"/>
                                  <w:ind w:left="720" w:firstLine="360"/>
                                  <w:jc w:val="cente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w:pict>
              <v:group id="Group 13" o:spid="_x0000_s1036" style="position:absolute;left:0;text-align:left;margin-left:-38pt;margin-top:28pt;width:180.75pt;height:141.75pt;z-index:251663360;mso-wrap-distance-left:0;mso-wrap-distance-right:0" coordorigin="41982,28798" coordsize="22955,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">
                <v:group id="Group 14" o:spid="_x0000_s1037" style="position:absolute;left:41982;top:28798;width:22955;height:18003" coordsize="22955,18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15" o:spid="_x0000_s1038" style="position:absolute;width:22955;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EuO8AA&#10;AADbAAAADwAAAGRycy9kb3ducmV2LnhtbERPzWrCQBC+C77DMoI33RisaOoqWiy0njT2AabZaTaY&#10;nU2zq6Zv3xUEb/Px/c5y3dlaXKn1lWMFk3ECgrhwuuJSwdfpfTQH4QOyxtoxKfgjD+tVv7fETLsb&#10;H+mah1LEEPYZKjAhNJmUvjBk0Y9dQxy5H9daDBG2pdQt3mK4rWWaJDNpseLYYLChN0PFOb9YBYep&#10;o3SX+m1e2oXpvk/7z1+cKTUcdJtXEIG68BQ/3B86zn+B+y/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EuO8AAAADbAAAADwAAAAAAAAAAAAAAAACYAgAAZHJzL2Rvd25y&#10;ZXYueG1sUEsFBgAAAAAEAAQA9QAAAIUDAAAAAA==&#10;" filled="f" stroked="f">
                    <v:textbox inset="2.53958mm,2.53958mm,2.53958mm,2.53958mm">
                      <w:txbxContent>
                        <w:p w:rsidR="00C306BA" w:rsidRDefault="00C306BA" w:rsidP="00C306BA"/>
                      </w:txbxContent>
                    </v:textbox>
                  </v:rect>
                  <v:oval id="Oval 16" o:spid="_x0000_s1039" style="position:absolute;width:22955;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bfMIA&#10;AADbAAAADwAAAGRycy9kb3ducmV2LnhtbESPT4vCMBDF78J+hzALe9NUBZFqlCIseNg9rH/uYzO2&#10;xWZSkmyb9dObBcHbDO/N+71Zb6NpRU/ON5YVTCcZCOLS6oYrBafj53gJwgdkja1lUvBHHrabt9Ea&#10;c20H/qH+ECqRQtjnqKAOocul9GVNBv3EdsRJu1pnMKTVVVI7HFK4aeUsyxbSYMOJUGNHu5rK2+HX&#10;JO7Sf/fRfZ1LLC7nOw9zXcS5Uh/vsViBCBTDy/y83utUfwH/v6QB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5t8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C306BA" w:rsidRDefault="00C306BA" w:rsidP="00C306BA"/>
                      </w:txbxContent>
                    </v:textbox>
                  </v:oval>
                  <v:rect id="Rectangle 17" o:spid="_x0000_s1040" style="position:absolute;left:3361;top:2636;width:16232;height:127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xQMIA&#10;AADbAAAADwAAAGRycy9kb3ducmV2LnhtbERPTYvCMBC9C/6HMIIXWVM9dKUaRVYWPIirVfY8NGNb&#10;bCa1iVr99Rthwds83ufMFq2pxI0aV1pWMBpGIIgzq0vOFRwP3x8TEM4ja6wsk4IHOVjMu50ZJtre&#10;eU+31OcihLBLUEHhfZ1I6bKCDLqhrYkDd7KNQR9gk0vd4D2Em0qOoyiWBksODQXW9FVQdk6vRoGf&#10;/KwulzJ+bh7ZZrRd7bbr33igVL/XLqcgPLX+Lf53r3WY/wmvX8I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FAwgAAANsAAAAPAAAAAAAAAAAAAAAAAJgCAABkcnMvZG93&#10;bnJldi54bWxQSwUGAAAAAAQABAD1AAAAhwMAAAAA&#10;" filled="f" stroked="f">
                    <v:textbox inset="1.2694mm,1.2694mm,1.2694mm,1.2694mm">
                      <w:txbxContent>
                        <w:p w:rsidR="00C306BA" w:rsidRDefault="00C306BA" w:rsidP="00C306BA">
                          <w:pPr>
                            <w:spacing w:line="255" w:lineRule="auto"/>
                            <w:jc w:val="center"/>
                          </w:pPr>
                          <w:r>
                            <w:rPr>
                              <w:rFonts w:ascii="Calibri" w:eastAsia="Calibri" w:hAnsi="Calibri" w:cs="Calibri"/>
                              <w:color w:val="000000"/>
                              <w:sz w:val="28"/>
                            </w:rPr>
                            <w:t>Student’s behavior</w:t>
                          </w:r>
                        </w:p>
                        <w:p w:rsidR="00C306BA" w:rsidRDefault="00C306BA" w:rsidP="00C306BA">
                          <w:pPr>
                            <w:spacing w:line="255" w:lineRule="auto"/>
                            <w:ind w:left="720" w:firstLine="360"/>
                            <w:jc w:val="center"/>
                          </w:pPr>
                          <w:r>
                            <w:rPr>
                              <w:rFonts w:ascii="Calibri" w:eastAsia="Calibri" w:hAnsi="Calibri" w:cs="Calibri"/>
                              <w:color w:val="000000"/>
                              <w:sz w:val="28"/>
                            </w:rPr>
                            <w:t>The academic achievement</w:t>
                          </w:r>
                        </w:p>
                        <w:p w:rsidR="00C306BA" w:rsidRDefault="00C306BA" w:rsidP="00C306BA">
                          <w:pPr>
                            <w:spacing w:line="255" w:lineRule="auto"/>
                            <w:ind w:left="720" w:firstLine="360"/>
                            <w:jc w:val="center"/>
                          </w:pPr>
                          <w:r>
                            <w:rPr>
                              <w:rFonts w:ascii="Calibri" w:eastAsia="Calibri" w:hAnsi="Calibri" w:cs="Calibri"/>
                              <w:color w:val="000000"/>
                              <w:sz w:val="28"/>
                            </w:rPr>
                            <w:t>Aggressive behavior towards studies</w:t>
                          </w:r>
                        </w:p>
                      </w:txbxContent>
                    </v:textbox>
                  </v:rect>
                </v:group>
              </v:group>
            </w:pict>
          </mc:Fallback>
        </mc:AlternateContent>
      </w: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adaaaaaaaaaa</w:t>
      </w:r>
      <w:r w:rsidRPr="008F69F8">
        <w:rPr>
          <w:noProof/>
        </w:rPr>
        <mc:AlternateContent>
          <mc:Choice Requires="wps">
            <w:drawing>
              <wp:anchor distT="0" distB="0" distL="0" distR="0" simplePos="0" relativeHeight="251664384" behindDoc="0" locked="0" layoutInCell="1" allowOverlap="1" wp14:anchorId="23F9092E" wp14:editId="23E1E73B">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wps:cNvCnPr/>
                      <wps:spPr>
                        <a:xfrm rot="10800000" flipH="1">
                          <a:off x="3721988" y="3703800"/>
                          <a:ext cx="3248025" cy="15240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8" o:spid="_x0000_s1026" type="#_x0000_t32" alt="Description: Straight Arrow Connector 11" style="position:absolute;margin-left:143pt;margin-top:16pt;width:256.5pt;height:12.75pt;rotation:180;flip:x;z-index:2516643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" strokecolor="#5b9bd5">
                <v:stroke endarrow="block"/>
              </v:shape>
            </w:pict>
          </mc:Fallback>
        </mc:AlternateContent>
      </w: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t xml:space="preserve">            Adaptation to the behavior</w:t>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p>
    <w:p w:rsidR="00C306BA" w:rsidRPr="008F69F8" w:rsidRDefault="00C306BA" w:rsidP="00C306BA">
      <w:pPr>
        <w:pBdr>
          <w:top w:val="nil"/>
          <w:left w:val="nil"/>
          <w:bottom w:val="nil"/>
          <w:right w:val="nil"/>
          <w:between w:val="nil"/>
        </w:pBdr>
        <w:spacing w:after="160" w:line="480" w:lineRule="auto"/>
        <w:rPr>
          <w:color w:val="000000"/>
        </w:rPr>
      </w:pPr>
      <w:r w:rsidRPr="008F69F8">
        <w:rPr>
          <w:noProof/>
        </w:rPr>
        <mc:AlternateContent>
          <mc:Choice Requires="wps">
            <w:drawing>
              <wp:anchor distT="0" distB="0" distL="0" distR="0" simplePos="0" relativeHeight="251665408" behindDoc="0" locked="0" layoutInCell="1" allowOverlap="1" wp14:anchorId="2C707AC8" wp14:editId="722314E8">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wps:cNvCnPr/>
                      <wps:spPr>
                        <a:xfrm rot="10800000" flipH="1">
                          <a:off x="5165025" y="3179925"/>
                          <a:ext cx="361950" cy="1200150"/>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19" o:spid="_x0000_s1026" type="#_x0000_t32" alt="Description: Straight Arrow Connector 9" style="position:absolute;margin-left:423pt;margin-top:6pt;width:29.25pt;height:95.25pt;rotation:180;flip:x;z-index:2516654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" strokecolor="#5b9bd5">
                <v:stroke endarrow="block"/>
              </v:shape>
            </w:pict>
          </mc:Fallback>
        </mc:AlternateContent>
      </w:r>
    </w:p>
    <w:p w:rsidR="00C306BA" w:rsidRPr="008F69F8" w:rsidRDefault="00C306BA" w:rsidP="00C306BA">
      <w:pPr>
        <w:pBdr>
          <w:top w:val="nil"/>
          <w:left w:val="nil"/>
          <w:bottom w:val="nil"/>
          <w:right w:val="nil"/>
          <w:between w:val="nil"/>
        </w:pBdr>
        <w:spacing w:after="160" w:line="480" w:lineRule="auto"/>
        <w:rPr>
          <w:color w:val="000000"/>
        </w:rPr>
      </w:pP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6432" behindDoc="0" locked="0" layoutInCell="1" allowOverlap="1" wp14:anchorId="46E608B5" wp14:editId="01E8EE7C">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wps:cNvCnPr/>
                      <wps:spPr>
                        <a:xfrm>
                          <a:off x="4541138" y="3365663"/>
                          <a:ext cx="1609725" cy="828675"/>
                        </a:xfrm>
                        <a:prstGeom prst="straightConnector1">
                          <a:avLst/>
                        </a:prstGeom>
                        <a:noFill/>
                        <a:ln w="9525">
                          <a:solidFill>
                            <a:srgbClr val="5B9BD5"/>
                          </a:solidFill>
                          <a:round/>
                          <a:headEnd/>
                          <a:tailEnd type="triangle"/>
                        </a:ln>
                      </wps:spPr>
                      <wps:bodyPr/>
                    </wps:wsp>
                  </a:graphicData>
                </a:graphic>
              </wp:anchor>
            </w:drawing>
          </mc:Choice>
          <mc:Fallback>
            <w:pict>
              <v:shape id="Straight Arrow Connector 20" o:spid="_x0000_s1026" type="#_x0000_t32" alt="Description: Straight Arrow Connector 10" style="position:absolute;margin-left:105pt;margin-top:5pt;width:127.5pt;height:66pt;z-index:25166643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" strokecolor="#5b9bd5">
                <v:stroke endarrow="block"/>
              </v:shape>
            </w:pict>
          </mc:Fallback>
        </mc:AlternateContent>
      </w:r>
    </w:p>
    <w:p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g">
            <w:drawing>
              <wp:anchor distT="0" distB="0" distL="0" distR="0" simplePos="0" relativeHeight="251667456" behindDoc="0" locked="0" layoutInCell="1" allowOverlap="1" wp14:anchorId="6011BFA5" wp14:editId="23F20A6B">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wps:cNvPr id="23" name="Rectangle 23"/>
                          <wps:cNvSpPr/>
                          <wps:spPr>
                            <a:xfrm>
                              <a:off x="0" y="-1"/>
                              <a:ext cx="3200400" cy="2667000"/>
                            </a:xfrm>
                            <a:prstGeom prst="rect">
                              <a:avLst/>
                            </a:prstGeom>
                            <a:noFill/>
                            <a:ln>
                              <a:noFill/>
                            </a:ln>
                          </wps:spPr>
                          <wps:txbx>
                            <w:txbxContent>
                              <w:p w:rsidR="00C306BA" w:rsidRDefault="00C306BA" w:rsidP="00C306BA"/>
                            </w:txbxContent>
                          </wps:txbx>
                          <wps:bodyPr spcFirstLastPara="1" wrap="square" lIns="91425" tIns="91425" rIns="91425" bIns="91425" anchor="ctr" anchorCtr="0"/>
                        </wps:wsp>
                        <wps:wsp>
                          <wps:cNvPr id="24" name="Oval 24"/>
                          <wps:cNvSpPr/>
                          <wps:spPr>
                            <a:xfrm>
                              <a:off x="0" y="-1"/>
                              <a:ext cx="3200400" cy="2667001"/>
                            </a:xfrm>
                            <a:prstGeom prst="ellipse">
                              <a:avLst/>
                            </a:prstGeom>
                            <a:solidFill>
                              <a:srgbClr val="FFFFFF"/>
                            </a:solidFill>
                            <a:ln w="12700">
                              <a:solidFill>
                                <a:srgbClr val="70AD47"/>
                              </a:solidFill>
                              <a:miter lim="800000"/>
                              <a:headEnd w="sm" len="sm"/>
                              <a:tailEnd w="sm" len="sm"/>
                            </a:ln>
                          </wps:spPr>
                          <wps:txbx>
                            <w:txbxContent>
                              <w:p w:rsidR="00C306BA" w:rsidRDefault="00C306BA" w:rsidP="00C306BA"/>
                            </w:txbxContent>
                          </wps:txbx>
                          <wps:bodyPr spcFirstLastPara="1" wrap="square" lIns="91425" tIns="91425" rIns="91425" bIns="91425" anchor="ctr" anchorCtr="0"/>
                        </wps:wsp>
                        <wps:wsp>
                          <wps:cNvPr id="25" name="Rectangle 25"/>
                          <wps:cNvSpPr/>
                          <wps:spPr>
                            <a:xfrm>
                              <a:off x="468687" y="390572"/>
                              <a:ext cx="2263026" cy="1885856"/>
                            </a:xfrm>
                            <a:prstGeom prst="rect">
                              <a:avLst/>
                            </a:prstGeom>
                            <a:noFill/>
                            <a:ln>
                              <a:noFill/>
                            </a:ln>
                          </wps:spPr>
                          <wps:txbx>
                            <w:txbxContent>
                              <w:p w:rsidR="00C306BA" w:rsidRDefault="00C306BA" w:rsidP="00C306BA">
                                <w:pPr>
                                  <w:spacing w:line="255" w:lineRule="auto"/>
                                  <w:jc w:val="center"/>
                                </w:pPr>
                                <w:r>
                                  <w:rPr>
                                    <w:rFonts w:ascii="Calibri" w:eastAsia="Calibri" w:hAnsi="Calibri" w:cs="Calibri"/>
                                    <w:color w:val="000000"/>
                                    <w:sz w:val="28"/>
                                  </w:rPr>
                                  <w:t>The relationship with classmates online</w:t>
                                </w:r>
                              </w:p>
                              <w:p w:rsidR="00C306BA" w:rsidRDefault="00C306BA" w:rsidP="00C306BA">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C306BA" w:rsidRDefault="00C306BA" w:rsidP="00C306BA">
                                <w:pPr>
                                  <w:spacing w:line="255" w:lineRule="auto"/>
                                  <w:ind w:left="720" w:firstLine="360"/>
                                  <w:jc w:val="center"/>
                                </w:pPr>
                                <w:r>
                                  <w:rPr>
                                    <w:rFonts w:ascii="Calibri" w:eastAsia="Calibri" w:hAnsi="Calibri" w:cs="Calibri"/>
                                    <w:color w:val="000000"/>
                                    <w:sz w:val="28"/>
                                  </w:rPr>
                                  <w:t>Rejection and victimization from others</w:t>
                                </w:r>
                              </w:p>
                              <w:p w:rsidR="00C306BA" w:rsidRDefault="00C306BA" w:rsidP="00C306BA">
                                <w:pPr>
                                  <w:spacing w:line="255" w:lineRule="auto"/>
                                  <w:ind w:left="720" w:firstLine="360"/>
                                  <w:jc w:val="center"/>
                                </w:pPr>
                                <w:r>
                                  <w:rPr>
                                    <w:rFonts w:ascii="Calibri" w:eastAsia="Calibri" w:hAnsi="Calibri" w:cs="Calibri"/>
                                    <w:color w:val="000000"/>
                                    <w:sz w:val="28"/>
                                  </w:rPr>
                                  <w:t>Are students popular among peers?</w:t>
                                </w:r>
                              </w:p>
                            </w:txbxContent>
                          </wps:txbx>
                          <wps:bodyPr spcFirstLastPara="1" wrap="square" lIns="45700" tIns="45700" rIns="45700" bIns="45700" anchor="ctr" anchorCtr="0"/>
                        </wps:wsp>
                      </wpg:grpSp>
                    </wpg:wgp>
                  </a:graphicData>
                </a:graphic>
              </wp:anchor>
            </w:drawing>
          </mc:Choice>
          <mc:Fallback>
            <w:pict>
              <v:group id="Group 21" o:spid="_x0000_s1041" style="position:absolute;margin-left:208pt;margin-top:3pt;width:252pt;height:210pt;z-index:251667456;mso-wrap-distance-left:0;mso-wrap-distance-right:0" coordorigin="37458,24465" coordsize="32004,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">
                <v:group id="Group 22" o:spid="_x0000_s1042" style="position:absolute;left:37458;top:24465;width:32004;height:26670" coordorigin="" coordsize="32004,26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ect id="Rectangle 23" o:spid="_x0000_s1043" style="position:absolute;width:32004;height:26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ZacMA&#10;AADbAAAADwAAAGRycy9kb3ducmV2LnhtbESPwW7CMBBE75X4B2uReitOU4TaEAcBKhL01AY+YImX&#10;OGq8DrEL4e9xpUo9jmbmjSZfDLYVF+p941jB8yQBQVw53XCt4LDfPL2C8AFZY+uYFNzIw6IYPeSY&#10;aXflL7qUoRYRwj5DBSaELpPSV4Ys+onriKN3cr3FEGVfS93jNcJtK9MkmUmLDccFgx2tDVXf5Y9V&#10;8Dl1lL6nflXW9s0Mx/3H7owzpR7Hw3IOItAQ/sN/7a1WkL7A75f4A2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jZacMAAADbAAAADwAAAAAAAAAAAAAAAACYAgAAZHJzL2Rv&#10;d25yZXYueG1sUEsFBgAAAAAEAAQA9QAAAIgDAAAAAA==&#10;" filled="f" stroked="f">
                    <v:textbox inset="2.53958mm,2.53958mm,2.53958mm,2.53958mm">
                      <w:txbxContent>
                        <w:p w:rsidR="00C306BA" w:rsidRDefault="00C306BA" w:rsidP="00C306BA"/>
                      </w:txbxContent>
                    </v:textbox>
                  </v:rect>
                  <v:oval id="Oval 24" o:spid="_x0000_s1044" style="position:absolute;width:32004;height:26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qLcIA&#10;AADbAAAADwAAAGRycy9kb3ducmV2LnhtbESPS2sCMRSF9wX/Q7hCdzXjgyKjUQah4EIXtbq/Tq4z&#10;g5ObIUlnUn99IxS6PJzHx1lvo2lFT843lhVMJxkI4tLqhisF56+PtyUIH5A1tpZJwQ952G5GL2vM&#10;tR34k/pTqEQaYZ+jgjqELpfSlzUZ9BPbESfvZp3BkKSrpHY4pHHTylmWvUuDDSdCjR3tairvp2+T&#10;uEt/7KM7XEosrpcHD3NdxLlSr+NYrEAEiuE//NfeawWzBTy/pB8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WotwgAAANsAAAAPAAAAAAAAAAAAAAAAAJgCAABkcnMvZG93&#10;bnJldi54bWxQSwUGAAAAAAQABAD1AAAAhwMAAAAA&#10;" strokecolor="#70ad47" strokeweight="1pt">
                    <v:stroke startarrowwidth="narrow" startarrowlength="short" endarrowwidth="narrow" endarrowlength="short" joinstyle="miter"/>
                    <v:textbox inset="2.53958mm,2.53958mm,2.53958mm,2.53958mm">
                      <w:txbxContent>
                        <w:p w:rsidR="00C306BA" w:rsidRDefault="00C306BA" w:rsidP="00C306BA"/>
                      </w:txbxContent>
                    </v:textbox>
                  </v:oval>
                  <v:rect id="Rectangle 25" o:spid="_x0000_s1045" style="position:absolute;left:4686;top:3905;width:22631;height:18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0AEcQA&#10;AADbAAAADwAAAGRycy9kb3ducmV2LnhtbESPQYvCMBSE74L/ITzBi6ypgkWqUUQRPIjrdhfPj+Zt&#10;W7Z5qU3U6q83C4LHYWa+YebL1lTiSo0rLSsYDSMQxJnVJecKfr63H1MQziNrrCyTgjs5WC66nTkm&#10;2t74i66pz0WAsEtQQeF9nUjpsoIMuqGtiYP3axuDPsgml7rBW4CbSo6jKJYGSw4LBda0Lij7Sy9G&#10;gZ9+bs7nMn7s79l+dNgcD7tTPFCq32tXMxCeWv8Ov9o7rWA8gf8v4Qf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tABHEAAAA2wAAAA8AAAAAAAAAAAAAAAAAmAIAAGRycy9k&#10;b3ducmV2LnhtbFBLBQYAAAAABAAEAPUAAACJAwAAAAA=&#10;" filled="f" stroked="f">
                    <v:textbox inset="1.2694mm,1.2694mm,1.2694mm,1.2694mm">
                      <w:txbxContent>
                        <w:p w:rsidR="00C306BA" w:rsidRDefault="00C306BA" w:rsidP="00C306BA">
                          <w:pPr>
                            <w:spacing w:line="255" w:lineRule="auto"/>
                            <w:jc w:val="center"/>
                          </w:pPr>
                          <w:r>
                            <w:rPr>
                              <w:rFonts w:ascii="Calibri" w:eastAsia="Calibri" w:hAnsi="Calibri" w:cs="Calibri"/>
                              <w:color w:val="000000"/>
                              <w:sz w:val="28"/>
                            </w:rPr>
                            <w:t>The relationship with classmates online</w:t>
                          </w:r>
                        </w:p>
                        <w:p w:rsidR="00C306BA" w:rsidRDefault="00C306BA" w:rsidP="00C306BA">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C306BA" w:rsidRDefault="00C306BA" w:rsidP="00C306BA">
                          <w:pPr>
                            <w:spacing w:line="255" w:lineRule="auto"/>
                            <w:ind w:left="720" w:firstLine="360"/>
                            <w:jc w:val="center"/>
                          </w:pPr>
                          <w:r>
                            <w:rPr>
                              <w:rFonts w:ascii="Calibri" w:eastAsia="Calibri" w:hAnsi="Calibri" w:cs="Calibri"/>
                              <w:color w:val="000000"/>
                              <w:sz w:val="28"/>
                            </w:rPr>
                            <w:t>Rejection and victimization from others</w:t>
                          </w:r>
                        </w:p>
                        <w:p w:rsidR="00C306BA" w:rsidRDefault="00C306BA" w:rsidP="00C306BA">
                          <w:pPr>
                            <w:spacing w:line="255" w:lineRule="auto"/>
                            <w:ind w:left="720" w:firstLine="360"/>
                            <w:jc w:val="center"/>
                          </w:pPr>
                          <w:r>
                            <w:rPr>
                              <w:rFonts w:ascii="Calibri" w:eastAsia="Calibri" w:hAnsi="Calibri" w:cs="Calibri"/>
                              <w:color w:val="000000"/>
                              <w:sz w:val="28"/>
                            </w:rPr>
                            <w:t>Are students popular among peers?</w:t>
                          </w:r>
                        </w:p>
                      </w:txbxContent>
                    </v:textbox>
                  </v:rect>
                </v:group>
              </v:group>
            </w:pict>
          </mc:Fallback>
        </mc:AlternateContent>
      </w:r>
    </w:p>
    <w:p w:rsidR="00C306BA" w:rsidRPr="00D16482"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p>
    <w:p w:rsidR="00C306BA" w:rsidRPr="008F69F8" w:rsidRDefault="00C306BA" w:rsidP="00C306BA">
      <w:pPr>
        <w:spacing w:line="480" w:lineRule="auto"/>
      </w:pPr>
    </w:p>
    <w:p w:rsidR="00C306BA" w:rsidRPr="008F69F8" w:rsidRDefault="00C306BA" w:rsidP="00C306BA">
      <w:pPr>
        <w:spacing w:line="480" w:lineRule="auto"/>
      </w:pPr>
    </w:p>
    <w:p w:rsidR="00C306BA" w:rsidRPr="008F69F8" w:rsidRDefault="00C306BA" w:rsidP="00C306BA">
      <w:pPr>
        <w:spacing w:line="480" w:lineRule="auto"/>
      </w:pPr>
    </w:p>
    <w:p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The Relevance of Social Work</w:t>
      </w:r>
    </w:p>
    <w:p w:rsidR="00C306BA" w:rsidRPr="008F69F8" w:rsidRDefault="00C306BA" w:rsidP="00C306BA">
      <w:pPr>
        <w:spacing w:line="480" w:lineRule="auto"/>
        <w:ind w:firstLine="720"/>
      </w:pPr>
      <w:r w:rsidRPr="008F69F8">
        <w:t>Social work programs have undisputable relevance in providing degrees online, including developing of a huge enrolment catchment area, hence giving a golden opportunity to students in remote locations like the rural sections of the states and entry into social work education (Sun &amp; Rueda, 2012). Moreover, social work is relevant in the modern world as it allows students facing high mobility risks such as the spouse who has a family to manage and active-duty military men and women to get high-quality education.</w:t>
      </w:r>
    </w:p>
    <w:p w:rsidR="00C306BA" w:rsidRDefault="00C306BA" w:rsidP="00C306BA">
      <w:pPr>
        <w:spacing w:line="480" w:lineRule="auto"/>
        <w:ind w:firstLine="720"/>
      </w:pPr>
      <w:r w:rsidRPr="008F69F8">
        <w:t xml:space="preserve">Furthermore, the students have the opportunity to customize their education programs by enrolling for online programs that offer students’ specialized curriculum regardless of the physical location where learning is taking place. Moore (2013) reports that social work education is relevant because it allows students who have the desire to work on full-time basis or have full-time duties of caregiving to build a strong and flexible learning experience. Online social education provides access to different diverse groups and populations that make it possible to enrich the virtual classroom. </w:t>
      </w:r>
      <w:r w:rsidRPr="008F69F8">
        <w:rPr>
          <w:color w:val="000000"/>
          <w:highlight w:val="white"/>
        </w:rPr>
        <w:t>Turner (2017)</w:t>
      </w:r>
      <w:r w:rsidRPr="008F69F8">
        <w:rPr>
          <w:color w:val="000000"/>
        </w:rPr>
        <w:t xml:space="preserve"> posits that </w:t>
      </w:r>
      <w:r w:rsidRPr="008F69F8">
        <w:t xml:space="preserve">social work education provides a huge pool of learners which in turn leads to growth in tuition dollars for the university and the social work unit. The tuition dollars that the pools of students pay promotes backfills for cuts in institutional budgets, higher discretionary money that can be used for devolving institutional infrastructure or for advancing programs. According to </w:t>
      </w:r>
      <w:r w:rsidRPr="008F69F8">
        <w:rPr>
          <w:color w:val="222222"/>
          <w:shd w:val="clear" w:color="auto" w:fill="FFFFFF"/>
        </w:rPr>
        <w:t>Boling</w:t>
      </w:r>
      <w:r w:rsidRPr="008F69F8">
        <w:t xml:space="preserve"> et al. (</w:t>
      </w:r>
      <w:r w:rsidRPr="008F69F8">
        <w:rPr>
          <w:color w:val="222222"/>
          <w:shd w:val="clear" w:color="auto" w:fill="FFFFFF"/>
        </w:rPr>
        <w:t>2012</w:t>
      </w:r>
      <w:r w:rsidRPr="008F69F8">
        <w:t>), online social work education remains to be a relevant choice for institutions because it enhances efficient use of physical position of the campu</w:t>
      </w:r>
      <w:r>
        <w:t>s.</w:t>
      </w:r>
    </w:p>
    <w:p w:rsidR="00C306BA" w:rsidRDefault="00C306BA" w:rsidP="00C306BA">
      <w:pPr>
        <w:spacing w:after="160" w:line="259" w:lineRule="auto"/>
      </w:pPr>
      <w:r>
        <w:br w:type="page"/>
      </w:r>
    </w:p>
    <w:p w:rsidR="00C306BA" w:rsidRDefault="00C306BA" w:rsidP="00C306BA">
      <w:pPr>
        <w:spacing w:line="480" w:lineRule="auto"/>
        <w:jc w:val="center"/>
      </w:pPr>
      <w:r>
        <w:lastRenderedPageBreak/>
        <w:t>References</w:t>
      </w:r>
    </w:p>
    <w:p w:rsidR="00C306BA" w:rsidRDefault="00C306BA" w:rsidP="00C306BA">
      <w:pPr>
        <w:spacing w:line="480" w:lineRule="auto"/>
        <w:jc w:val="center"/>
      </w:pPr>
    </w:p>
    <w:p w:rsidR="00C306BA" w:rsidRPr="00496F34" w:rsidRDefault="00C306BA" w:rsidP="00C306BA">
      <w:pPr>
        <w:spacing w:line="480" w:lineRule="auto"/>
        <w:ind w:left="720" w:hanging="720"/>
      </w:pPr>
      <w:r w:rsidRPr="00496F34">
        <w:t xml:space="preserve">Allen, I. E., &amp; Seaman, J. (2017). Digital Compass Learning: Distance Education Enrollment </w:t>
      </w:r>
      <w:r w:rsidRPr="00496F34">
        <w:tab/>
        <w:t>Report 2017. Babson survey research group.</w:t>
      </w:r>
    </w:p>
    <w:p w:rsidR="00C306BA" w:rsidRPr="00496F34" w:rsidRDefault="00C306BA" w:rsidP="00C306BA">
      <w:pPr>
        <w:spacing w:line="480" w:lineRule="auto"/>
        <w:ind w:left="720" w:hanging="720"/>
      </w:pPr>
      <w:r w:rsidRPr="00496F34">
        <w:t>Atkins, P., &amp;Frederico, M. (2017). Supporting implementation of innovative social work</w:t>
      </w:r>
      <w:r w:rsidRPr="00496F34">
        <w:tab/>
        <w:t>practice: What factors really matter. British Journal of Social Work, 47(6), 1723-1744.</w:t>
      </w:r>
    </w:p>
    <w:p w:rsidR="00C306BA" w:rsidRPr="00496F34" w:rsidRDefault="00C306BA" w:rsidP="00C306BA">
      <w:pPr>
        <w:spacing w:line="480" w:lineRule="auto"/>
        <w:ind w:left="720" w:hanging="720"/>
      </w:pPr>
      <w:r w:rsidRPr="00496F34">
        <w:t xml:space="preserve">Augustine, M. G., &amp; Gentle-Genitty, C. (2013). A perspective on the historical epistemology of </w:t>
      </w:r>
      <w:r w:rsidRPr="00496F34">
        <w:tab/>
        <w:t>social work education.</w:t>
      </w:r>
    </w:p>
    <w:p w:rsidR="00C306BA" w:rsidRPr="00496F34" w:rsidRDefault="00C306BA" w:rsidP="00C306BA">
      <w:pPr>
        <w:spacing w:line="480" w:lineRule="auto"/>
        <w:ind w:left="720" w:hanging="720"/>
      </w:pPr>
      <w:r w:rsidRPr="00496F34">
        <w:t xml:space="preserve">Barbour, M., Archambault, L., &amp; DiPietro, M. (2013). K–12 online distance education: Issues </w:t>
      </w:r>
      <w:r w:rsidRPr="00496F34">
        <w:tab/>
        <w:t>and frameworks.</w:t>
      </w:r>
    </w:p>
    <w:p w:rsidR="00C306BA" w:rsidRPr="00496F34" w:rsidRDefault="00C306BA" w:rsidP="00C306BA">
      <w:pPr>
        <w:spacing w:line="480" w:lineRule="auto"/>
        <w:ind w:left="720" w:hanging="720"/>
      </w:pPr>
      <w:r w:rsidRPr="00496F34">
        <w:t xml:space="preserve">Beddoe, L. (2016). A matter of degrees: The role of education in the professionalisation journey </w:t>
      </w:r>
      <w:r w:rsidRPr="00496F34">
        <w:tab/>
        <w:t>of social work in New Zealand. Aotearoa New Zealand Social Work, 26(2-3), 17-</w:t>
      </w:r>
      <w:r w:rsidRPr="00496F34">
        <w:tab/>
        <w:t>28.</w:t>
      </w:r>
    </w:p>
    <w:p w:rsidR="00C306BA" w:rsidRPr="00496F34" w:rsidRDefault="00C306BA" w:rsidP="00C306BA">
      <w:pPr>
        <w:spacing w:line="480" w:lineRule="auto"/>
        <w:ind w:left="720" w:hanging="720"/>
      </w:pPr>
      <w:r w:rsidRPr="00496F34">
        <w:t>Boling, E. C., Hough, M., Krinsky, H., Saleem, H., &amp; Stevens, M. (2012). Cutting the distance in distance education: Perspectives on what promotes positive, online learning experiences. The Internet and Higher Education, 15(2), 118-126.</w:t>
      </w:r>
    </w:p>
    <w:p w:rsidR="00C306BA" w:rsidRPr="00496F34" w:rsidRDefault="00C306BA" w:rsidP="00C306BA">
      <w:pPr>
        <w:spacing w:line="480" w:lineRule="auto"/>
        <w:ind w:left="720" w:hanging="720"/>
      </w:pPr>
      <w:r w:rsidRPr="00496F34">
        <w:t>Bowen, H. (2018). Investment in learning: The individual and social value of American higher education. Routledge.</w:t>
      </w:r>
    </w:p>
    <w:p w:rsidR="00C306BA" w:rsidRPr="00496F34" w:rsidRDefault="00C306BA" w:rsidP="00C306BA">
      <w:pPr>
        <w:spacing w:line="480" w:lineRule="auto"/>
        <w:ind w:left="720" w:hanging="720"/>
      </w:pPr>
      <w:r w:rsidRPr="00496F34">
        <w:t xml:space="preserve">Broadbent, J., </w:t>
      </w:r>
      <w:r w:rsidRPr="00496F34">
        <w:tab/>
        <w:t>&amp; Poon, W. L. (2015). Self-regulated learning strategies &amp; academic achievement in online higher education learning environments: A systematic review. The Internet and Higher Education, 27, 1-13.</w:t>
      </w:r>
    </w:p>
    <w:p w:rsidR="00C306BA" w:rsidRPr="00496F34" w:rsidRDefault="00C306BA" w:rsidP="00C306BA">
      <w:pPr>
        <w:spacing w:line="480" w:lineRule="auto"/>
        <w:ind w:left="720" w:hanging="720"/>
      </w:pPr>
      <w:r w:rsidRPr="00496F34">
        <w:lastRenderedPageBreak/>
        <w:t>Bryson, C. (2016). Engagement through partnership: Students as partners in learning and teaching in higher education.</w:t>
      </w:r>
    </w:p>
    <w:p w:rsidR="00C306BA" w:rsidRPr="00496F34" w:rsidRDefault="00C306BA" w:rsidP="00C306BA">
      <w:pPr>
        <w:spacing w:line="480" w:lineRule="auto"/>
        <w:ind w:left="720" w:hanging="720"/>
      </w:pPr>
      <w:r w:rsidRPr="00496F34">
        <w:t xml:space="preserve">Caruth, G. D., </w:t>
      </w:r>
      <w:r w:rsidRPr="00496F34">
        <w:tab/>
        <w:t>&amp; Caruth, D. L. (2013). Distance education in the United States: From correspondence courses to the internet. Turkish Online Journal of Distance Education, 14(2), 141-149.</w:t>
      </w:r>
    </w:p>
    <w:p w:rsidR="00C306BA" w:rsidRPr="00496F34" w:rsidRDefault="00C306BA" w:rsidP="00C306BA">
      <w:pPr>
        <w:spacing w:line="480" w:lineRule="auto"/>
        <w:ind w:left="720" w:hanging="720"/>
      </w:pPr>
      <w:r w:rsidRPr="00496F34">
        <w:t>Collins, A., &amp; Halverson, R. (2018). Rethinking education in the age of technology: The digital revolution and schooling in America. Teachers College Press.</w:t>
      </w:r>
    </w:p>
    <w:p w:rsidR="00C306BA" w:rsidRPr="00496F34" w:rsidRDefault="00C306BA" w:rsidP="00C306BA">
      <w:pPr>
        <w:spacing w:line="480" w:lineRule="auto"/>
        <w:ind w:left="720" w:hanging="720"/>
      </w:pPr>
      <w:r w:rsidRPr="00496F34">
        <w:t>Cropanzano, R., Anthony, E. L., Daniels, S. R., &amp; Hall, A. V. (2017). Social exchange theory: A critical review with theoretical remedies. Academy of Management Annals, 11(1),</w:t>
      </w:r>
      <w:r>
        <w:t xml:space="preserve"> </w:t>
      </w:r>
      <w:r w:rsidRPr="00496F34">
        <w:t>479-</w:t>
      </w:r>
      <w:r w:rsidRPr="00496F34">
        <w:tab/>
        <w:t>516.</w:t>
      </w:r>
    </w:p>
    <w:p w:rsidR="00C306BA" w:rsidRPr="00496F34" w:rsidRDefault="00C306BA" w:rsidP="00C306BA">
      <w:pPr>
        <w:spacing w:line="480" w:lineRule="auto"/>
        <w:ind w:left="720" w:hanging="720"/>
      </w:pPr>
      <w:r w:rsidRPr="00496F34">
        <w:t xml:space="preserve">Cummings, S., M., Kate M. C., &amp; Clifford C. (2015). Comparative Analysis of an Online and a Traditional MSW Program: Educational Outcomes 2(5)1-13. </w:t>
      </w:r>
    </w:p>
    <w:p w:rsidR="00C306BA" w:rsidRPr="00496F34" w:rsidRDefault="00C306BA" w:rsidP="00C306BA">
      <w:pPr>
        <w:spacing w:line="480" w:lineRule="auto"/>
        <w:ind w:left="720" w:hanging="720"/>
      </w:pPr>
      <w:r w:rsidRPr="00496F34">
        <w:t>Dash, B. M., &amp;Botcha, R. (2018). Social Work Education through Open and Distance Learning: An Indian Perspective. Turkish Online Journal of Distance Education, 19(2), 149</w:t>
      </w:r>
      <w:r>
        <w:t xml:space="preserve"> </w:t>
      </w:r>
      <w:r w:rsidRPr="00496F34">
        <w:t>165.</w:t>
      </w:r>
    </w:p>
    <w:p w:rsidR="00C306BA" w:rsidRPr="00496F34" w:rsidRDefault="00C306BA" w:rsidP="00C306BA">
      <w:pPr>
        <w:spacing w:line="480" w:lineRule="auto"/>
        <w:ind w:left="720" w:hanging="720"/>
      </w:pPr>
      <w:r w:rsidRPr="00496F34">
        <w:t>Fook, J. (2016). Social work: A critical approach to practice. Sage.</w:t>
      </w:r>
    </w:p>
    <w:p w:rsidR="00C306BA" w:rsidRPr="00496F34" w:rsidRDefault="00C306BA" w:rsidP="00C306BA">
      <w:pPr>
        <w:spacing w:line="480" w:lineRule="auto"/>
        <w:ind w:left="720" w:hanging="720"/>
      </w:pPr>
      <w:r w:rsidRPr="00496F34">
        <w:t xml:space="preserve">Greene, R. R. (2017). Human Behavior Theory and Professional Social Work Practice. </w:t>
      </w:r>
      <w:r w:rsidRPr="00496F34">
        <w:tab/>
        <w:t>In Human Behavior Theory and Social Work Practice (pp. 31-62). Routledge.</w:t>
      </w:r>
    </w:p>
    <w:p w:rsidR="00C306BA" w:rsidRPr="00496F34" w:rsidRDefault="00C306BA" w:rsidP="00C306BA">
      <w:pPr>
        <w:spacing w:line="480" w:lineRule="auto"/>
        <w:ind w:left="720" w:hanging="720"/>
      </w:pPr>
      <w:r w:rsidRPr="00496F34">
        <w:t>Hill, P. (2014). Online educational delivery models: A descriptive view.</w:t>
      </w:r>
    </w:p>
    <w:p w:rsidR="00C306BA" w:rsidRPr="00496F34" w:rsidRDefault="00C306BA" w:rsidP="00C306BA">
      <w:pPr>
        <w:spacing w:line="480" w:lineRule="auto"/>
        <w:ind w:left="720" w:hanging="720"/>
      </w:pPr>
      <w:r w:rsidRPr="00496F34">
        <w:t xml:space="preserve">Hismanoglu, M. (2012). Prospective EFL teachers' perceptions of ICT integration: A </w:t>
      </w:r>
      <w:r w:rsidRPr="00496F34">
        <w:tab/>
        <w:t xml:space="preserve">study of distance higher education in Turkey. Journal of Educational Technology &amp; </w:t>
      </w:r>
      <w:r w:rsidRPr="00496F34">
        <w:tab/>
        <w:t>Society, 15(1), 185-196.</w:t>
      </w:r>
    </w:p>
    <w:p w:rsidR="00C306BA" w:rsidRPr="00496F34" w:rsidRDefault="00C306BA" w:rsidP="00C306BA">
      <w:pPr>
        <w:spacing w:line="480" w:lineRule="auto"/>
        <w:ind w:left="720" w:hanging="720"/>
      </w:pPr>
      <w:r w:rsidRPr="00496F34">
        <w:t>Hockridge, D. (2013). Challenges for educators using distance and online education to prepare students for relational professions. Distance Education, 34(2), 142-160.</w:t>
      </w:r>
    </w:p>
    <w:p w:rsidR="00C306BA" w:rsidRPr="00496F34" w:rsidRDefault="00C306BA" w:rsidP="00C306BA">
      <w:pPr>
        <w:spacing w:line="480" w:lineRule="auto"/>
        <w:ind w:left="720" w:hanging="720"/>
      </w:pPr>
      <w:r w:rsidRPr="00496F34">
        <w:lastRenderedPageBreak/>
        <w:t>Jelfs, A., &amp; Richardson, J. T. (2013). The use of digital technologies across the adult life span in distance education. British Journal of Educational Technology, 44(2), 338-351.</w:t>
      </w:r>
    </w:p>
    <w:p w:rsidR="00C306BA" w:rsidRPr="00496F34" w:rsidRDefault="00C306BA" w:rsidP="00C306BA">
      <w:pPr>
        <w:spacing w:line="480" w:lineRule="auto"/>
        <w:ind w:left="720" w:hanging="720"/>
      </w:pPr>
      <w:r w:rsidRPr="00496F34">
        <w:t>Kadushin, A., &amp; Harkness, D. (2014). Supervision in social work. Columbia University Press.</w:t>
      </w:r>
    </w:p>
    <w:p w:rsidR="00C306BA" w:rsidRPr="00496F34" w:rsidRDefault="00C306BA" w:rsidP="00C306BA">
      <w:pPr>
        <w:spacing w:line="480" w:lineRule="auto"/>
        <w:ind w:left="720" w:hanging="720"/>
      </w:pPr>
      <w:r w:rsidRPr="00496F34">
        <w:t>Kentnor, H. E. (2015). Distance education and the evolution of online learning in the United States. Curriculum and Teaching Dialogue, 17(1), 21-34.</w:t>
      </w:r>
    </w:p>
    <w:p w:rsidR="00C306BA" w:rsidRPr="00496F34" w:rsidRDefault="00C306BA" w:rsidP="00C306BA">
      <w:pPr>
        <w:spacing w:line="480" w:lineRule="auto"/>
        <w:ind w:left="720" w:hanging="720"/>
      </w:pPr>
      <w:r w:rsidRPr="00496F34">
        <w:t>Knott, C., &amp; Scragg, T. (Eds.). (2016). Reflective practice in social work. Learning Matters.</w:t>
      </w:r>
    </w:p>
    <w:p w:rsidR="00C306BA" w:rsidRPr="00496F34" w:rsidRDefault="00C306BA" w:rsidP="00C306BA">
      <w:pPr>
        <w:spacing w:line="480" w:lineRule="auto"/>
        <w:ind w:left="720" w:hanging="720"/>
      </w:pPr>
      <w:r w:rsidRPr="00496F34">
        <w:t>Kolb, D. A. (2014). Experiential learning: Experience as the source of learning and development. FT press.</w:t>
      </w:r>
    </w:p>
    <w:p w:rsidR="00C306BA" w:rsidRPr="00496F34" w:rsidRDefault="00C306BA" w:rsidP="00C306BA">
      <w:pPr>
        <w:spacing w:line="480" w:lineRule="auto"/>
        <w:ind w:left="720" w:hanging="720"/>
      </w:pPr>
      <w:r w:rsidRPr="00496F34">
        <w:t>Merriam, S. B. (2018). Adult learning theory: Evolution and future directions. In Contemporary Theories of Learning (pp. 83-96). Routledge.</w:t>
      </w:r>
    </w:p>
    <w:p w:rsidR="00C306BA" w:rsidRPr="00496F34" w:rsidRDefault="00C306BA" w:rsidP="00C306BA">
      <w:pPr>
        <w:spacing w:line="480" w:lineRule="auto"/>
        <w:ind w:left="720" w:hanging="720"/>
      </w:pPr>
      <w:r w:rsidRPr="00496F34">
        <w:t>Moore, M. G. (Ed.). (2013). Handbook of distance education. Routledge.</w:t>
      </w:r>
    </w:p>
    <w:p w:rsidR="00C306BA" w:rsidRPr="00496F34" w:rsidRDefault="00C306BA" w:rsidP="00C306BA">
      <w:pPr>
        <w:spacing w:line="480" w:lineRule="auto"/>
        <w:ind w:left="720" w:hanging="720"/>
      </w:pPr>
      <w:r w:rsidRPr="00496F34">
        <w:t xml:space="preserve">Moore, R. L. (2014). Importance of developing community in distance education </w:t>
      </w:r>
      <w:r w:rsidRPr="00496F34">
        <w:tab/>
        <w:t>courses. TechTrends, 58(2), 20-24.</w:t>
      </w:r>
    </w:p>
    <w:p w:rsidR="00C306BA" w:rsidRPr="00496F34" w:rsidRDefault="00C306BA" w:rsidP="00C306BA">
      <w:pPr>
        <w:spacing w:line="480" w:lineRule="auto"/>
        <w:ind w:left="720" w:hanging="720"/>
      </w:pPr>
      <w:r w:rsidRPr="00496F34">
        <w:t xml:space="preserve">Moore, S., E., Golder, S., Sterrett, E., Faul, A., C., Pam Y., Lynetta W., M., &amp; Barbee A., P. (2015). Social Work Online Education: A Model for Getting Started and Staying </w:t>
      </w:r>
      <w:r w:rsidRPr="00496F34">
        <w:tab/>
        <w:t>Connected 4(7)1-15.</w:t>
      </w:r>
    </w:p>
    <w:p w:rsidR="00C306BA" w:rsidRPr="00496F34" w:rsidRDefault="00C306BA" w:rsidP="00C306BA">
      <w:pPr>
        <w:spacing w:line="480" w:lineRule="auto"/>
        <w:ind w:left="720" w:hanging="720"/>
      </w:pPr>
      <w:r w:rsidRPr="00496F34">
        <w:t>Murphy, E., &amp; Rodríguez-Manzanares, M. A. (2012). Rapport in distance education. The International Review of Research in Open and Distributed Learning, 13(1), 167-190.</w:t>
      </w:r>
    </w:p>
    <w:p w:rsidR="00C306BA" w:rsidRPr="00496F34" w:rsidRDefault="00C306BA" w:rsidP="00C306BA">
      <w:pPr>
        <w:spacing w:line="480" w:lineRule="auto"/>
        <w:ind w:left="720" w:hanging="720"/>
      </w:pPr>
      <w:r w:rsidRPr="00496F34">
        <w:t>Online Learning Consortium. (2017). New Study: Over Six Million Students Now Enrolled in Distance Education https://onlinelearningconsortium.org/news_item/new-study-six-million-students-now-enrolled-distance-education/</w:t>
      </w:r>
    </w:p>
    <w:p w:rsidR="00C306BA" w:rsidRPr="00496F34" w:rsidRDefault="00C306BA" w:rsidP="00C306BA">
      <w:pPr>
        <w:spacing w:line="480" w:lineRule="auto"/>
        <w:ind w:left="720" w:hanging="720"/>
      </w:pPr>
      <w:r w:rsidRPr="00496F34">
        <w:t>Ozuah, P. O. (2016). First, there was pedagogy and then came andragogy. Einstein journal of Biology and Medicine, 21(2), 83-87.</w:t>
      </w:r>
    </w:p>
    <w:p w:rsidR="00C306BA" w:rsidRPr="00496F34" w:rsidRDefault="00C306BA" w:rsidP="00C306BA">
      <w:pPr>
        <w:spacing w:line="480" w:lineRule="auto"/>
        <w:ind w:left="720" w:hanging="720"/>
      </w:pPr>
      <w:r w:rsidRPr="00496F34">
        <w:lastRenderedPageBreak/>
        <w:t>Power, R. L. (2013). Leader-member exchange theory in higher and distance education. The International Review of Research in Open and Distributed Learning, 14(4).</w:t>
      </w:r>
    </w:p>
    <w:p w:rsidR="00C306BA" w:rsidRPr="00496F34" w:rsidRDefault="00C306BA" w:rsidP="00C306BA">
      <w:pPr>
        <w:spacing w:line="480" w:lineRule="auto"/>
        <w:ind w:left="720" w:hanging="720"/>
      </w:pPr>
      <w:r w:rsidRPr="00496F34">
        <w:t>Pyles, L., &amp; Adam, G. J. (2015). Educating Transformative Social Workers. Holistic Engagement: Transformative Social Work Education in the 21st Century.</w:t>
      </w:r>
    </w:p>
    <w:p w:rsidR="00C306BA" w:rsidRPr="00496F34" w:rsidRDefault="00C306BA" w:rsidP="00C306BA">
      <w:pPr>
        <w:spacing w:line="480" w:lineRule="auto"/>
        <w:ind w:left="720" w:hanging="720"/>
      </w:pPr>
      <w:r w:rsidRPr="00496F34">
        <w:t>Robert V., Halaevalu V., Dean P., Pittman-Munke P., &amp; Adkins L., F. (2019). DISTANCE EDUCATION PROGRAMS IN SOCIAL WORK: CURRENT AND EMERGING TRENDS 3(7)1-15</w:t>
      </w:r>
    </w:p>
    <w:p w:rsidR="00C306BA" w:rsidRPr="00496F34" w:rsidRDefault="00C306BA" w:rsidP="00C306BA">
      <w:pPr>
        <w:spacing w:line="480" w:lineRule="auto"/>
        <w:ind w:left="720" w:hanging="720"/>
      </w:pPr>
      <w:r w:rsidRPr="00496F34">
        <w:t>Rosenthal, J. A. (2012). Statistics and data interpretation for social work.</w:t>
      </w:r>
    </w:p>
    <w:p w:rsidR="00C306BA" w:rsidRPr="00496F34" w:rsidRDefault="00C306BA" w:rsidP="00C306BA">
      <w:pPr>
        <w:spacing w:line="480" w:lineRule="auto"/>
        <w:ind w:left="720" w:hanging="720"/>
      </w:pPr>
      <w:r w:rsidRPr="00496F34">
        <w:t>Rubin, A., &amp; Babbie, E. R. (2016). Empowerment series: Research methods for social work. Cengage Learning.</w:t>
      </w:r>
    </w:p>
    <w:p w:rsidR="00C306BA" w:rsidRPr="00496F34" w:rsidRDefault="00C306BA" w:rsidP="00C306BA">
      <w:pPr>
        <w:spacing w:line="480" w:lineRule="auto"/>
        <w:ind w:left="720" w:hanging="720"/>
      </w:pPr>
      <w:r w:rsidRPr="00496F34">
        <w:t>Seaman, J. E., Allen, I. E., &amp; Seaman, J. (2018). Grade Increase: Tracking Distance Education in</w:t>
      </w:r>
      <w:r>
        <w:t xml:space="preserve"> </w:t>
      </w:r>
      <w:r w:rsidRPr="00496F34">
        <w:t>the United States. Babson Survey Research Group.</w:t>
      </w:r>
    </w:p>
    <w:p w:rsidR="00C306BA" w:rsidRPr="00496F34" w:rsidRDefault="00C306BA" w:rsidP="00C306BA">
      <w:pPr>
        <w:spacing w:line="480" w:lineRule="auto"/>
        <w:ind w:left="720" w:hanging="720"/>
      </w:pPr>
      <w:r w:rsidRPr="00496F34">
        <w:t>Simonson, M., Smaldino, S., &amp; Zvacek, S. M. (Eds.). (2014). Teaching and learning at a distance: Foundations of distance education. IAP.</w:t>
      </w:r>
    </w:p>
    <w:p w:rsidR="00C306BA" w:rsidRPr="00496F34" w:rsidRDefault="00C306BA" w:rsidP="00C306BA">
      <w:pPr>
        <w:spacing w:line="480" w:lineRule="auto"/>
        <w:ind w:left="720" w:hanging="720"/>
      </w:pPr>
      <w:r w:rsidRPr="00496F34">
        <w:t>Simpson, M., &amp; Anderson, B. (2012). History and heritage in open, flexible and distance</w:t>
      </w:r>
      <w:r>
        <w:t xml:space="preserve"> </w:t>
      </w:r>
      <w:r w:rsidRPr="00496F34">
        <w:t>education. Journal of Open, Flexible, and Distance Learning, 16(2), 1-10.</w:t>
      </w:r>
    </w:p>
    <w:p w:rsidR="00C306BA" w:rsidRPr="00496F34" w:rsidRDefault="00C306BA" w:rsidP="00C306BA">
      <w:pPr>
        <w:spacing w:line="480" w:lineRule="auto"/>
        <w:ind w:left="720" w:hanging="720"/>
      </w:pPr>
      <w:r w:rsidRPr="00496F34">
        <w:t>Sun, J. C. Y., &amp; Rueda, R. (2012). Situational interest, computer self‐efficacy and self</w:t>
      </w:r>
      <w:r>
        <w:t>-</w:t>
      </w:r>
      <w:r w:rsidRPr="00496F34">
        <w:t>regulation: Their impact on student engagement in distance education. British Journal of</w:t>
      </w:r>
      <w:r>
        <w:t xml:space="preserve"> </w:t>
      </w:r>
      <w:r w:rsidRPr="00496F34">
        <w:t>Educational Technology, 43(2), 191-204.</w:t>
      </w:r>
    </w:p>
    <w:p w:rsidR="00C306BA" w:rsidRPr="00496F34" w:rsidRDefault="00C306BA" w:rsidP="00C306BA">
      <w:pPr>
        <w:spacing w:line="480" w:lineRule="auto"/>
        <w:ind w:left="720" w:hanging="720"/>
      </w:pPr>
      <w:r w:rsidRPr="00496F34">
        <w:t>Tham, P., &amp; Lynch, D. (2014). Prepared for practice? Graduating social work students' reflections on their education, competence and skills. Social Work Education, 33(6), 704-</w:t>
      </w:r>
      <w:r w:rsidRPr="00496F34">
        <w:tab/>
        <w:t>717.</w:t>
      </w:r>
    </w:p>
    <w:p w:rsidR="00C306BA" w:rsidRPr="00496F34" w:rsidRDefault="00C306BA" w:rsidP="00C306BA">
      <w:pPr>
        <w:spacing w:line="480" w:lineRule="auto"/>
        <w:ind w:left="720" w:hanging="720"/>
      </w:pPr>
      <w:r w:rsidRPr="00496F34">
        <w:lastRenderedPageBreak/>
        <w:t>Turner, F. J. (2017). Social work treatment: Interlocking theoretical approaches. Oxford University Press.</w:t>
      </w:r>
    </w:p>
    <w:p w:rsidR="00C306BA" w:rsidRPr="00496F34" w:rsidRDefault="00C306BA" w:rsidP="00C306BA">
      <w:pPr>
        <w:spacing w:line="480" w:lineRule="auto"/>
        <w:ind w:left="720" w:hanging="720"/>
      </w:pPr>
      <w:r w:rsidRPr="00496F34">
        <w:t>Wilke D., &amp; Vinton L. (2017). UniveEVALUATION OF THE FIRST WEB-BASED ADVANCED STANDING iVISW PROGRAM 4(5)1-17</w:t>
      </w:r>
    </w:p>
    <w:p w:rsidR="00C306BA" w:rsidRPr="00496F34" w:rsidRDefault="00C306BA" w:rsidP="00C306BA">
      <w:pPr>
        <w:spacing w:line="480" w:lineRule="auto"/>
        <w:ind w:left="720" w:hanging="720"/>
      </w:pPr>
      <w:r w:rsidRPr="00496F34">
        <w:t>York, R., O. (2019). COMPARING THREE MODES OF INSTRUCTION IN A GRADUATE SOCIAL WORK PROGRAM: University of North Carolina, Wiimington 7(3)1-17</w:t>
      </w:r>
    </w:p>
    <w:p w:rsidR="00C306BA" w:rsidRDefault="00C306BA" w:rsidP="00C306BA">
      <w:pPr>
        <w:spacing w:line="480" w:lineRule="auto"/>
      </w:pPr>
    </w:p>
    <w:p w:rsidR="004D3C01" w:rsidRPr="00C306BA" w:rsidRDefault="004D3C01">
      <w:pPr>
        <w:rPr>
          <w:b/>
        </w:rPr>
      </w:pPr>
      <w:bookmarkStart w:id="7" w:name="_GoBack"/>
      <w:bookmarkEnd w:id="7"/>
    </w:p>
    <w:sectPr w:rsidR="004D3C01" w:rsidRPr="00C306BA" w:rsidSect="008F69F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9F8" w:rsidRDefault="00C306BA" w:rsidP="00D16482">
    <w:pPr>
      <w:spacing w:line="480" w:lineRule="auto"/>
      <w:jc w:val="center"/>
    </w:pPr>
    <w:r w:rsidRPr="008F69F8">
      <w:t>STUDENTS’ PERCEPTIONS OF ONLINE HIGHER EDUCATION</w:t>
    </w:r>
    <w:r>
      <w:t xml:space="preserve">                                        </w:t>
    </w:r>
    <w:r>
      <w:fldChar w:fldCharType="begin"/>
    </w:r>
    <w:r>
      <w:instrText xml:space="preserve"> PAGE   \* MERGEFORMAT </w:instrText>
    </w:r>
    <w:r>
      <w:fldChar w:fldCharType="separate"/>
    </w:r>
    <w:r>
      <w:rPr>
        <w:noProof/>
      </w:rPr>
      <w:t>28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9F8" w:rsidRDefault="00C306BA" w:rsidP="00D16482">
    <w:pPr>
      <w:spacing w:line="480" w:lineRule="auto"/>
      <w:jc w:val="center"/>
    </w:pPr>
    <w:r>
      <w:t xml:space="preserve">Running head: </w:t>
    </w:r>
    <w:r w:rsidRPr="008F69F8">
      <w:t xml:space="preserve">STUDENTS’ PERCEPTIONS OF ONLINE </w:t>
    </w:r>
    <w:r w:rsidRPr="008F69F8">
      <w:t>HIGHER EDUCATIO</w:t>
    </w:r>
    <w:r>
      <w:t>N</w:t>
    </w:r>
    <w:r>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BA"/>
    <w:rsid w:val="004D3C01"/>
    <w:rsid w:val="00C3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6B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C306BA"/>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6BA"/>
    <w:rPr>
      <w:rFonts w:ascii="Calibri" w:eastAsia="Calibri" w:hAnsi="Calibri" w:cs="Calibri"/>
      <w:color w:val="2E74B5"/>
      <w:sz w:val="26"/>
      <w:szCs w:val="26"/>
    </w:rPr>
  </w:style>
  <w:style w:type="character" w:styleId="CommentReference">
    <w:name w:val="annotation reference"/>
    <w:basedOn w:val="DefaultParagraphFont"/>
    <w:uiPriority w:val="99"/>
    <w:semiHidden/>
    <w:unhideWhenUsed/>
    <w:rsid w:val="00C306B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6B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C306BA"/>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6BA"/>
    <w:rPr>
      <w:rFonts w:ascii="Calibri" w:eastAsia="Calibri" w:hAnsi="Calibri" w:cs="Calibri"/>
      <w:color w:val="2E74B5"/>
      <w:sz w:val="26"/>
      <w:szCs w:val="26"/>
    </w:rPr>
  </w:style>
  <w:style w:type="character" w:styleId="CommentReference">
    <w:name w:val="annotation reference"/>
    <w:basedOn w:val="DefaultParagraphFont"/>
    <w:uiPriority w:val="99"/>
    <w:semiHidden/>
    <w:unhideWhenUsed/>
    <w:rsid w:val="00C306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7090</Words>
  <Characters>40413</Characters>
  <Application>Microsoft Office Word</Application>
  <DocSecurity>0</DocSecurity>
  <Lines>336</Lines>
  <Paragraphs>94</Paragraphs>
  <ScaleCrop>false</ScaleCrop>
  <Company/>
  <LinksUpToDate>false</LinksUpToDate>
  <CharactersWithSpaces>47409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2019-09-28T03:26:00Z</dcterms:created>
  <dcterms:modified xsi:type="dcterms:W3CDTF">2019-09-28T03:27:00Z</dcterms:modified>
</cp:coreProperties>
</file>